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07BB5" w14:textId="4EE333F0" w:rsidR="00AF633F" w:rsidRDefault="00C338D8" w:rsidP="00AF633F">
      <w:pPr>
        <w:jc w:val="center"/>
        <w:rPr>
          <w:rFonts w:ascii="Arial" w:hAnsi="Arial" w:cs="Arial"/>
          <w:b/>
          <w:bCs/>
          <w:sz w:val="40"/>
          <w:szCs w:val="40"/>
        </w:rPr>
      </w:pPr>
      <w:r w:rsidRPr="00DE37D2">
        <w:rPr>
          <w:rFonts w:ascii="Arial" w:hAnsi="Arial" w:cs="Arial"/>
          <w:b/>
          <w:bCs/>
          <w:noProof/>
          <w:sz w:val="40"/>
          <w:szCs w:val="40"/>
        </w:rPr>
        <w:t xml:space="preserve"> </w:t>
      </w:r>
      <w:r w:rsidR="00672C3C" w:rsidRPr="00DE37D2">
        <w:rPr>
          <w:rFonts w:ascii="Arial" w:hAnsi="Arial" w:cs="Arial"/>
          <w:b/>
          <w:bCs/>
          <w:noProof/>
          <w:sz w:val="40"/>
          <w:szCs w:val="40"/>
        </w:rPr>
        <mc:AlternateContent>
          <mc:Choice Requires="wps">
            <w:drawing>
              <wp:anchor distT="0" distB="0" distL="114300" distR="114300" simplePos="0" relativeHeight="251660288" behindDoc="0" locked="0" layoutInCell="1" allowOverlap="1" wp14:anchorId="0004E62B" wp14:editId="4895E165">
                <wp:simplePos x="0" y="0"/>
                <wp:positionH relativeFrom="column">
                  <wp:posOffset>-76200</wp:posOffset>
                </wp:positionH>
                <wp:positionV relativeFrom="paragraph">
                  <wp:posOffset>-229548</wp:posOffset>
                </wp:positionV>
                <wp:extent cx="6097270" cy="3278505"/>
                <wp:effectExtent l="0" t="0" r="0" b="0"/>
                <wp:wrapNone/>
                <wp:docPr id="5" name="TextBox 4">
                  <a:extLst xmlns:a="http://schemas.openxmlformats.org/drawingml/2006/main">
                    <a:ext uri="{FF2B5EF4-FFF2-40B4-BE49-F238E27FC236}">
                      <a16:creationId xmlns:a16="http://schemas.microsoft.com/office/drawing/2014/main" id="{05F758E7-6CCA-852F-7F5D-F688845F0540}"/>
                    </a:ext>
                  </a:extLst>
                </wp:docPr>
                <wp:cNvGraphicFramePr/>
                <a:graphic xmlns:a="http://schemas.openxmlformats.org/drawingml/2006/main">
                  <a:graphicData uri="http://schemas.microsoft.com/office/word/2010/wordprocessingShape">
                    <wps:wsp>
                      <wps:cNvSpPr txBox="1"/>
                      <wps:spPr>
                        <a:xfrm>
                          <a:off x="0" y="0"/>
                          <a:ext cx="6097270" cy="3278505"/>
                        </a:xfrm>
                        <a:prstGeom prst="rect">
                          <a:avLst/>
                        </a:prstGeom>
                        <a:noFill/>
                      </wps:spPr>
                      <wps:txbx>
                        <w:txbxContent>
                          <w:p w14:paraId="24740D40" w14:textId="450D4E0F" w:rsidR="00672C3C" w:rsidRDefault="00672C3C" w:rsidP="00672C3C">
                            <w:pPr>
                              <w:jc w:val="center"/>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9150CE">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t>Green Belt Assessment Framework</w:t>
                            </w:r>
                            <w:r w:rsidR="00A14AA6">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t xml:space="preserve"> for South Nottinghamshire</w:t>
                            </w:r>
                          </w:p>
                          <w:p w14:paraId="132D1437" w14:textId="43A89812" w:rsidR="00672C3C" w:rsidRPr="009150CE" w:rsidRDefault="00586476" w:rsidP="00672C3C">
                            <w:pPr>
                              <w:jc w:val="center"/>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t>August</w:t>
                            </w:r>
                            <w:r w:rsidR="00672C3C">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t xml:space="preserve"> 2025</w:t>
                            </w:r>
                          </w:p>
                        </w:txbxContent>
                      </wps:txbx>
                      <wps:bodyPr wrap="square">
                        <a:noAutofit/>
                      </wps:bodyPr>
                    </wps:wsp>
                  </a:graphicData>
                </a:graphic>
                <wp14:sizeRelV relativeFrom="margin">
                  <wp14:pctHeight>0</wp14:pctHeight>
                </wp14:sizeRelV>
              </wp:anchor>
            </w:drawing>
          </mc:Choice>
          <mc:Fallback>
            <w:pict>
              <v:shapetype w14:anchorId="0004E62B" id="_x0000_t202" coordsize="21600,21600" o:spt="202" path="m,l,21600r21600,l21600,xe">
                <v:stroke joinstyle="miter"/>
                <v:path gradientshapeok="t" o:connecttype="rect"/>
              </v:shapetype>
              <v:shape id="TextBox 4" o:spid="_x0000_s1026" type="#_x0000_t202" style="position:absolute;left:0;text-align:left;margin-left:-6pt;margin-top:-18.05pt;width:480.1pt;height:258.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IudgEAAN8CAAAOAAAAZHJzL2Uyb0RvYy54bWysUstOwzAQvCPxD5bvNKGoFKKmCFTBBQES&#10;8AGuYzeWYq/xuk3696zd0iK4IS4bex/j2ZnMbgbbsY0KaMDV/HxUcqachMa4Vc3f3+7PrjjDKFwj&#10;OnCq5luF/GZ+ejLrfaXG0ELXqMAIxGHV+5q3MfqqKFC2ygocgVeOihqCFZGuYVU0QfSEbrtiXJaX&#10;RQ+h8QGkQqTsYlfk84yvtZLxWWtUkXU1J24xx5DjMsViPhPVKgjfGrmnIf7Awgrj6NED1EJEwdbB&#10;/IKyRgZA0HEkwRagtZEq70DbnJc/tnlthVd5FxIH/UEm/D9Y+bR59S+BxeEOBjIwCdJ7rJCSaZ9B&#10;B5u+xJRRnSTcHmRTQ2SSkpfl9XQ8pZKk2sV4ejUpJwmnOI77gPFBgWXpUPNAvmS5xOYR4671qyW9&#10;5uDedF3KH7mkUxyWw57gEpot8e7Juprjx1qEpFQavV1H0Cajppld4x6KVMy89o4nm77fc9fxv5x/&#10;AgAA//8DAFBLAwQUAAYACAAAACEAfhQA5eAAAAALAQAADwAAAGRycy9kb3ducmV2LnhtbEyPzU7D&#10;MBCE70i8g7VI3Fo7IVRpGqdCIK4gyo/Umxtvk4h4HcVuE96e5URvs5rR7Dfldna9OOMYOk8akqUC&#10;gVR721Gj4eP9eZGDCNGQNb0n1PCDAbbV9VVpCusnesPzLjaCSygURkMb41BIGeoWnQlLPyCxd/Sj&#10;M5HPsZF2NBOXu16mSq2kMx3xh9YM+Nhi/b07OQ2fL8f9V6Zemyd3P0x+VpLcWmp9ezM/bEBEnON/&#10;GP7wGR0qZjr4E9kgeg2LJOUtkcXdKgHBiXWWpyAOGrJcpSCrUl5uqH4BAAD//wMAUEsBAi0AFAAG&#10;AAgAAAAhALaDOJL+AAAA4QEAABMAAAAAAAAAAAAAAAAAAAAAAFtDb250ZW50X1R5cGVzXS54bWxQ&#10;SwECLQAUAAYACAAAACEAOP0h/9YAAACUAQAACwAAAAAAAAAAAAAAAAAvAQAAX3JlbHMvLnJlbHNQ&#10;SwECLQAUAAYACAAAACEA0tpSLnYBAADfAgAADgAAAAAAAAAAAAAAAAAuAgAAZHJzL2Uyb0RvYy54&#10;bWxQSwECLQAUAAYACAAAACEAfhQA5eAAAAALAQAADwAAAAAAAAAAAAAAAADQAwAAZHJzL2Rvd25y&#10;ZXYueG1sUEsFBgAAAAAEAAQA8wAAAN0EAAAAAA==&#10;" filled="f" stroked="f">
                <v:textbox>
                  <w:txbxContent>
                    <w:p w14:paraId="24740D40" w14:textId="450D4E0F" w:rsidR="00672C3C" w:rsidRDefault="00672C3C" w:rsidP="00672C3C">
                      <w:pPr>
                        <w:jc w:val="center"/>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sidRPr="009150CE">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t>Green Belt Assessment Framework</w:t>
                      </w:r>
                      <w:r w:rsidR="00A14AA6">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t xml:space="preserve"> for South Nottinghamshire</w:t>
                      </w:r>
                    </w:p>
                    <w:p w14:paraId="132D1437" w14:textId="43A89812" w:rsidR="00672C3C" w:rsidRPr="009150CE" w:rsidRDefault="00586476" w:rsidP="00672C3C">
                      <w:pPr>
                        <w:jc w:val="center"/>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t>August</w:t>
                      </w:r>
                      <w:r w:rsidR="00672C3C">
                        <w:rPr>
                          <w:rFonts w:ascii="Arial" w:eastAsia="Calibri" w:hAnsi="Arial"/>
                          <w:b/>
                          <w:bCs/>
                          <w:sz w:val="56"/>
                          <w:szCs w:val="56"/>
                          <w14:shadow w14:blurRad="38100" w14:dist="38100" w14:dir="2700000" w14:sx="100000" w14:sy="100000" w14:kx="0" w14:ky="0" w14:algn="tl">
                            <w14:srgbClr w14:val="000000">
                              <w14:alpha w14:val="57000"/>
                            </w14:srgbClr>
                          </w14:shadow>
                          <w14:textFill>
                            <w14:solidFill>
                              <w14:srgbClr w14:val="FFFFFF"/>
                            </w14:solidFill>
                          </w14:textFill>
                        </w:rPr>
                        <w:t xml:space="preserve"> 2025</w:t>
                      </w:r>
                    </w:p>
                  </w:txbxContent>
                </v:textbox>
              </v:shape>
            </w:pict>
          </mc:Fallback>
        </mc:AlternateContent>
      </w:r>
      <w:r w:rsidR="00672C3C" w:rsidRPr="00551F31">
        <w:rPr>
          <w:rFonts w:ascii="Arial" w:hAnsi="Arial" w:cs="Arial"/>
          <w:b/>
          <w:bCs/>
          <w:noProof/>
          <w:sz w:val="40"/>
          <w:szCs w:val="40"/>
        </w:rPr>
        <w:drawing>
          <wp:anchor distT="0" distB="0" distL="114300" distR="114300" simplePos="0" relativeHeight="251659264" behindDoc="0" locked="0" layoutInCell="1" allowOverlap="1" wp14:anchorId="02DF06A2" wp14:editId="227B79C5">
            <wp:simplePos x="0" y="0"/>
            <wp:positionH relativeFrom="column">
              <wp:posOffset>-911860</wp:posOffset>
            </wp:positionH>
            <wp:positionV relativeFrom="paragraph">
              <wp:posOffset>-911026</wp:posOffset>
            </wp:positionV>
            <wp:extent cx="10325100" cy="12509941"/>
            <wp:effectExtent l="0" t="0" r="0" b="6350"/>
            <wp:wrapNone/>
            <wp:docPr id="1028" name="Picture 4" descr="Generated image">
              <a:extLst xmlns:a="http://schemas.openxmlformats.org/drawingml/2006/main">
                <a:ext uri="{FF2B5EF4-FFF2-40B4-BE49-F238E27FC236}">
                  <a16:creationId xmlns:a16="http://schemas.microsoft.com/office/drawing/2014/main" id="{3841FD8F-2EB6-69D1-FCF4-3B39CE67D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enerated image">
                      <a:extLst>
                        <a:ext uri="{FF2B5EF4-FFF2-40B4-BE49-F238E27FC236}">
                          <a16:creationId xmlns:a16="http://schemas.microsoft.com/office/drawing/2014/main" id="{3841FD8F-2EB6-69D1-FCF4-3B39CE67D7EC}"/>
                        </a:ext>
                      </a:extLst>
                    </pic:cNvPr>
                    <pic:cNvPicPr>
                      <a:picLocks noChangeAspect="1" noChangeArrowheads="1"/>
                    </pic:cNvPicPr>
                  </pic:nvPicPr>
                  <pic:blipFill rotWithShape="1">
                    <a:blip r:embed="rId8">
                      <a:extLst>
                        <a:ext uri="{BEBA8EAE-BF5A-486C-A8C5-ECC9F3942E4B}">
                          <a14:imgProps xmlns:a14="http://schemas.microsoft.com/office/drawing/2010/main">
                            <a14:imgLayer r:embed="rId9">
                              <a14:imgEffect>
                                <a14:artisticCutout/>
                              </a14:imgEffect>
                            </a14:imgLayer>
                          </a14:imgProps>
                        </a:ext>
                        <a:ext uri="{28A0092B-C50C-407E-A947-70E740481C1C}">
                          <a14:useLocalDpi xmlns:a14="http://schemas.microsoft.com/office/drawing/2010/main" val="0"/>
                        </a:ext>
                      </a:extLst>
                    </a:blip>
                    <a:srcRect b="19225"/>
                    <a:stretch/>
                  </pic:blipFill>
                  <pic:spPr bwMode="auto">
                    <a:xfrm>
                      <a:off x="0" y="0"/>
                      <a:ext cx="10325100" cy="12509941"/>
                    </a:xfrm>
                    <a:prstGeom prst="rect">
                      <a:avLst/>
                    </a:prstGeom>
                    <a:noFill/>
                  </pic:spPr>
                </pic:pic>
              </a:graphicData>
            </a:graphic>
            <wp14:sizeRelH relativeFrom="page">
              <wp14:pctWidth>0</wp14:pctWidth>
            </wp14:sizeRelH>
            <wp14:sizeRelV relativeFrom="page">
              <wp14:pctHeight>0</wp14:pctHeight>
            </wp14:sizeRelV>
          </wp:anchor>
        </w:drawing>
      </w:r>
    </w:p>
    <w:p w14:paraId="436D2BCA" w14:textId="67B37901" w:rsidR="00672C3C" w:rsidRDefault="00672C3C" w:rsidP="00672C3C">
      <w:pPr>
        <w:jc w:val="center"/>
        <w:rPr>
          <w:rFonts w:ascii="Arial" w:hAnsi="Arial" w:cs="Arial"/>
          <w:b/>
          <w:bCs/>
          <w:sz w:val="40"/>
          <w:szCs w:val="40"/>
        </w:rPr>
      </w:pPr>
      <w:bookmarkStart w:id="0" w:name="_Hlk200716865"/>
    </w:p>
    <w:p w14:paraId="4E35CBDC" w14:textId="77777777" w:rsidR="00672C3C" w:rsidRDefault="00672C3C" w:rsidP="00672C3C">
      <w:pPr>
        <w:jc w:val="center"/>
        <w:rPr>
          <w:rFonts w:ascii="Arial" w:hAnsi="Arial" w:cs="Arial"/>
          <w:b/>
          <w:bCs/>
          <w:sz w:val="40"/>
          <w:szCs w:val="40"/>
        </w:rPr>
      </w:pPr>
    </w:p>
    <w:p w14:paraId="00DA8AD9" w14:textId="040FCB9A" w:rsidR="00672C3C" w:rsidRDefault="00672C3C" w:rsidP="00672C3C">
      <w:pPr>
        <w:jc w:val="center"/>
        <w:rPr>
          <w:rFonts w:ascii="Arial" w:hAnsi="Arial" w:cs="Arial"/>
          <w:b/>
          <w:bCs/>
          <w:sz w:val="40"/>
          <w:szCs w:val="40"/>
        </w:rPr>
      </w:pPr>
      <w:r w:rsidRPr="00AF633F">
        <w:rPr>
          <w:rFonts w:ascii="Arial" w:hAnsi="Arial" w:cs="Arial"/>
          <w:b/>
          <w:bCs/>
          <w:sz w:val="40"/>
          <w:szCs w:val="40"/>
        </w:rPr>
        <w:t>G</w:t>
      </w:r>
    </w:p>
    <w:p w14:paraId="5B0D44BA" w14:textId="77777777" w:rsidR="00672C3C" w:rsidRDefault="00672C3C" w:rsidP="00672C3C">
      <w:pPr>
        <w:jc w:val="center"/>
        <w:rPr>
          <w:rFonts w:ascii="Arial" w:hAnsi="Arial" w:cs="Arial"/>
          <w:b/>
          <w:bCs/>
          <w:sz w:val="40"/>
          <w:szCs w:val="40"/>
        </w:rPr>
      </w:pPr>
    </w:p>
    <w:p w14:paraId="27127F9F" w14:textId="0D828218" w:rsidR="00672C3C" w:rsidRDefault="00672C3C" w:rsidP="00672C3C">
      <w:pPr>
        <w:jc w:val="center"/>
        <w:rPr>
          <w:rFonts w:ascii="Arial" w:hAnsi="Arial" w:cs="Arial"/>
          <w:b/>
          <w:bCs/>
          <w:sz w:val="40"/>
          <w:szCs w:val="40"/>
        </w:rPr>
      </w:pPr>
    </w:p>
    <w:p w14:paraId="0BB6B2DC" w14:textId="77777777" w:rsidR="00672C3C" w:rsidRDefault="00672C3C" w:rsidP="00672C3C">
      <w:pPr>
        <w:jc w:val="center"/>
        <w:rPr>
          <w:rFonts w:ascii="Arial" w:hAnsi="Arial" w:cs="Arial"/>
          <w:b/>
          <w:bCs/>
          <w:sz w:val="40"/>
          <w:szCs w:val="40"/>
        </w:rPr>
      </w:pPr>
    </w:p>
    <w:p w14:paraId="7AF848F5" w14:textId="77777777" w:rsidR="00672C3C" w:rsidRDefault="00672C3C" w:rsidP="00672C3C">
      <w:pPr>
        <w:tabs>
          <w:tab w:val="left" w:pos="5653"/>
        </w:tabs>
        <w:rPr>
          <w:rFonts w:ascii="Arial" w:hAnsi="Arial" w:cs="Arial"/>
          <w:b/>
          <w:bCs/>
          <w:sz w:val="40"/>
          <w:szCs w:val="40"/>
        </w:rPr>
      </w:pPr>
      <w:r>
        <w:rPr>
          <w:rFonts w:ascii="Arial" w:hAnsi="Arial" w:cs="Arial"/>
          <w:b/>
          <w:bCs/>
          <w:sz w:val="40"/>
          <w:szCs w:val="40"/>
        </w:rPr>
        <w:tab/>
      </w:r>
    </w:p>
    <w:p w14:paraId="2213D132" w14:textId="013A7556" w:rsidR="00672C3C" w:rsidRDefault="00672C3C" w:rsidP="00672C3C">
      <w:pPr>
        <w:jc w:val="center"/>
        <w:rPr>
          <w:rFonts w:ascii="Arial" w:hAnsi="Arial" w:cs="Arial"/>
          <w:b/>
          <w:bCs/>
          <w:sz w:val="40"/>
          <w:szCs w:val="40"/>
        </w:rPr>
      </w:pPr>
    </w:p>
    <w:p w14:paraId="6D4D3E1B" w14:textId="77777777" w:rsidR="00672C3C" w:rsidRDefault="00672C3C" w:rsidP="00672C3C">
      <w:pPr>
        <w:jc w:val="center"/>
        <w:rPr>
          <w:rFonts w:ascii="Arial" w:hAnsi="Arial" w:cs="Arial"/>
          <w:b/>
          <w:bCs/>
          <w:sz w:val="40"/>
          <w:szCs w:val="40"/>
        </w:rPr>
      </w:pPr>
    </w:p>
    <w:p w14:paraId="475494EF" w14:textId="01531A1B" w:rsidR="00672C3C" w:rsidRDefault="00672C3C" w:rsidP="00672C3C">
      <w:pPr>
        <w:jc w:val="right"/>
        <w:rPr>
          <w:rFonts w:ascii="Arial" w:hAnsi="Arial" w:cs="Arial"/>
          <w:b/>
          <w:bCs/>
          <w:sz w:val="40"/>
          <w:szCs w:val="40"/>
        </w:rPr>
      </w:pPr>
    </w:p>
    <w:p w14:paraId="12E269DF" w14:textId="0DFBC2AA" w:rsidR="00672C3C" w:rsidRDefault="00672C3C" w:rsidP="00672C3C">
      <w:pPr>
        <w:jc w:val="center"/>
        <w:rPr>
          <w:rFonts w:ascii="Arial" w:hAnsi="Arial" w:cs="Arial"/>
          <w:b/>
          <w:bCs/>
          <w:sz w:val="40"/>
          <w:szCs w:val="40"/>
        </w:rPr>
      </w:pPr>
    </w:p>
    <w:p w14:paraId="130449B6" w14:textId="3429CC29" w:rsidR="00672C3C" w:rsidRDefault="00672C3C" w:rsidP="00672C3C">
      <w:pPr>
        <w:jc w:val="center"/>
        <w:rPr>
          <w:rFonts w:ascii="Arial" w:hAnsi="Arial" w:cs="Arial"/>
          <w:b/>
          <w:bCs/>
          <w:sz w:val="40"/>
          <w:szCs w:val="40"/>
        </w:rPr>
      </w:pPr>
    </w:p>
    <w:p w14:paraId="268C795A" w14:textId="1B8379D6" w:rsidR="00672C3C" w:rsidRDefault="00672C3C" w:rsidP="00672C3C">
      <w:pPr>
        <w:jc w:val="center"/>
        <w:rPr>
          <w:rFonts w:ascii="Arial" w:hAnsi="Arial" w:cs="Arial"/>
          <w:b/>
          <w:bCs/>
          <w:sz w:val="40"/>
          <w:szCs w:val="40"/>
        </w:rPr>
      </w:pPr>
    </w:p>
    <w:p w14:paraId="761827F1" w14:textId="6D33911F" w:rsidR="00672C3C" w:rsidRPr="00AF633F" w:rsidRDefault="00672C3C" w:rsidP="00672C3C">
      <w:pPr>
        <w:spacing w:line="240" w:lineRule="auto"/>
        <w:jc w:val="center"/>
        <w:rPr>
          <w:rFonts w:ascii="Arial" w:hAnsi="Arial" w:cs="Arial"/>
          <w:b/>
          <w:bCs/>
          <w:sz w:val="40"/>
          <w:szCs w:val="40"/>
        </w:rPr>
      </w:pPr>
    </w:p>
    <w:p w14:paraId="17C135E0" w14:textId="23BDDDBA" w:rsidR="00672C3C" w:rsidRDefault="00672C3C" w:rsidP="00672C3C">
      <w:pPr>
        <w:spacing w:line="240" w:lineRule="auto"/>
        <w:ind w:right="-471"/>
        <w:rPr>
          <w:rFonts w:ascii="Arial" w:hAnsi="Arial" w:cs="Arial"/>
          <w:sz w:val="24"/>
          <w:szCs w:val="24"/>
        </w:rPr>
      </w:pPr>
      <w:r>
        <w:rPr>
          <w:rFonts w:ascii="Arial" w:hAnsi="Arial" w:cs="Arial"/>
          <w:sz w:val="24"/>
          <w:szCs w:val="24"/>
        </w:rPr>
        <w:t xml:space="preserve"> </w:t>
      </w:r>
    </w:p>
    <w:p w14:paraId="6A3C8673" w14:textId="5F738B1F" w:rsidR="00672C3C" w:rsidRDefault="00672C3C" w:rsidP="00672C3C">
      <w:pPr>
        <w:rPr>
          <w:rFonts w:ascii="Arial" w:hAnsi="Arial" w:cs="Arial"/>
          <w:sz w:val="24"/>
          <w:szCs w:val="24"/>
        </w:rPr>
      </w:pPr>
    </w:p>
    <w:bookmarkEnd w:id="0"/>
    <w:p w14:paraId="2EFECCD5" w14:textId="1DAFA23E" w:rsidR="00672C3C" w:rsidRDefault="00672C3C" w:rsidP="00672C3C">
      <w:pPr>
        <w:rPr>
          <w:rFonts w:ascii="Arial" w:hAnsi="Arial" w:cs="Arial"/>
          <w:b/>
          <w:bCs/>
          <w:sz w:val="24"/>
          <w:szCs w:val="24"/>
        </w:rPr>
      </w:pPr>
    </w:p>
    <w:p w14:paraId="09EDB8C2" w14:textId="7D50BC64" w:rsidR="00672C3C" w:rsidRDefault="00672C3C" w:rsidP="00AF633F">
      <w:pPr>
        <w:jc w:val="center"/>
        <w:rPr>
          <w:rFonts w:ascii="Arial" w:hAnsi="Arial" w:cs="Arial"/>
          <w:b/>
          <w:bCs/>
          <w:sz w:val="40"/>
          <w:szCs w:val="40"/>
        </w:rPr>
      </w:pPr>
    </w:p>
    <w:p w14:paraId="4223A7A1" w14:textId="7D4C5A0C" w:rsidR="00672C3C" w:rsidRDefault="00C338D8" w:rsidP="00AF633F">
      <w:pPr>
        <w:jc w:val="center"/>
        <w:rPr>
          <w:rFonts w:ascii="Arial" w:hAnsi="Arial" w:cs="Arial"/>
          <w:b/>
          <w:bCs/>
          <w:sz w:val="40"/>
          <w:szCs w:val="40"/>
        </w:rPr>
      </w:pPr>
      <w:r>
        <w:rPr>
          <w:noProof/>
        </w:rPr>
        <w:drawing>
          <wp:anchor distT="0" distB="0" distL="114300" distR="114300" simplePos="0" relativeHeight="251663360" behindDoc="0" locked="0" layoutInCell="1" allowOverlap="1" wp14:anchorId="1ADF01C1" wp14:editId="399C083B">
            <wp:simplePos x="0" y="0"/>
            <wp:positionH relativeFrom="column">
              <wp:posOffset>-19050</wp:posOffset>
            </wp:positionH>
            <wp:positionV relativeFrom="paragraph">
              <wp:posOffset>403225</wp:posOffset>
            </wp:positionV>
            <wp:extent cx="5731510" cy="770255"/>
            <wp:effectExtent l="0" t="0" r="2540" b="0"/>
            <wp:wrapNone/>
            <wp:docPr id="874661278" name="Picture 1" descr="A logo with a crown and a coat of a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1278" name="Picture 1" descr="A logo with a crown and a coat of arms&#10;&#10;AI-generated content may be incorrect."/>
                    <pic:cNvPicPr/>
                  </pic:nvPicPr>
                  <pic:blipFill>
                    <a:blip r:embed="rId10"/>
                    <a:stretch>
                      <a:fillRect/>
                    </a:stretch>
                  </pic:blipFill>
                  <pic:spPr>
                    <a:xfrm>
                      <a:off x="0" y="0"/>
                      <a:ext cx="5731510" cy="770255"/>
                    </a:xfrm>
                    <a:prstGeom prst="rect">
                      <a:avLst/>
                    </a:prstGeom>
                  </pic:spPr>
                </pic:pic>
              </a:graphicData>
            </a:graphic>
          </wp:anchor>
        </w:drawing>
      </w:r>
    </w:p>
    <w:p w14:paraId="6E2BBFA1" w14:textId="7B3F39D0" w:rsidR="00AF633F" w:rsidRPr="00AF633F" w:rsidRDefault="00AF633F" w:rsidP="00AF633F">
      <w:pPr>
        <w:rPr>
          <w:rFonts w:ascii="Arial" w:hAnsi="Arial" w:cs="Arial"/>
          <w:b/>
          <w:bCs/>
          <w:sz w:val="24"/>
          <w:szCs w:val="24"/>
        </w:rPr>
      </w:pPr>
      <w:r w:rsidRPr="00AF633F">
        <w:rPr>
          <w:rFonts w:ascii="Arial" w:hAnsi="Arial" w:cs="Arial"/>
          <w:b/>
          <w:bCs/>
          <w:sz w:val="24"/>
          <w:szCs w:val="24"/>
        </w:rPr>
        <w:lastRenderedPageBreak/>
        <w:t xml:space="preserve">CONTENTS </w:t>
      </w:r>
    </w:p>
    <w:p w14:paraId="0D3377C6" w14:textId="77777777" w:rsidR="00AF633F" w:rsidRPr="00AF633F" w:rsidRDefault="00AF633F" w:rsidP="00AF633F">
      <w:pPr>
        <w:rPr>
          <w:rFonts w:ascii="Arial" w:hAnsi="Arial" w:cs="Arial"/>
          <w:b/>
          <w:bCs/>
          <w:sz w:val="24"/>
          <w:szCs w:val="24"/>
        </w:rPr>
      </w:pPr>
    </w:p>
    <w:p w14:paraId="1F638651" w14:textId="1D8A54D8" w:rsidR="00AF633F" w:rsidRPr="00AF633F" w:rsidRDefault="00AF633F" w:rsidP="00AF633F">
      <w:pPr>
        <w:rPr>
          <w:rFonts w:ascii="Arial" w:hAnsi="Arial" w:cs="Arial"/>
          <w:b/>
          <w:bCs/>
          <w:sz w:val="24"/>
          <w:szCs w:val="24"/>
        </w:rPr>
      </w:pPr>
      <w:r w:rsidRPr="00AF633F">
        <w:rPr>
          <w:rFonts w:ascii="Arial" w:hAnsi="Arial" w:cs="Arial"/>
          <w:b/>
          <w:bCs/>
          <w:sz w:val="24"/>
          <w:szCs w:val="24"/>
        </w:rPr>
        <w:t xml:space="preserve">1.0 </w:t>
      </w:r>
      <w:r w:rsidR="00B41DA9">
        <w:rPr>
          <w:rFonts w:ascii="Arial" w:hAnsi="Arial" w:cs="Arial"/>
          <w:b/>
          <w:bCs/>
          <w:sz w:val="24"/>
          <w:szCs w:val="24"/>
        </w:rPr>
        <w:tab/>
      </w:r>
      <w:r w:rsidRPr="00AF633F">
        <w:rPr>
          <w:rFonts w:ascii="Arial" w:hAnsi="Arial" w:cs="Arial"/>
          <w:b/>
          <w:bCs/>
          <w:sz w:val="24"/>
          <w:szCs w:val="24"/>
        </w:rPr>
        <w:t xml:space="preserve">Purpose </w:t>
      </w:r>
    </w:p>
    <w:p w14:paraId="48248A99" w14:textId="6C986C95" w:rsidR="00AF633F" w:rsidRPr="00AF633F" w:rsidRDefault="00AF633F" w:rsidP="00AF633F">
      <w:pPr>
        <w:rPr>
          <w:rFonts w:ascii="Arial" w:hAnsi="Arial" w:cs="Arial"/>
          <w:b/>
          <w:bCs/>
          <w:sz w:val="24"/>
          <w:szCs w:val="24"/>
        </w:rPr>
      </w:pPr>
      <w:r w:rsidRPr="00AF633F">
        <w:rPr>
          <w:rFonts w:ascii="Arial" w:hAnsi="Arial" w:cs="Arial"/>
          <w:b/>
          <w:bCs/>
          <w:sz w:val="24"/>
          <w:szCs w:val="24"/>
        </w:rPr>
        <w:t xml:space="preserve">2.0 </w:t>
      </w:r>
      <w:r w:rsidR="00B41DA9">
        <w:rPr>
          <w:rFonts w:ascii="Arial" w:hAnsi="Arial" w:cs="Arial"/>
          <w:b/>
          <w:bCs/>
          <w:sz w:val="24"/>
          <w:szCs w:val="24"/>
        </w:rPr>
        <w:tab/>
      </w:r>
      <w:r w:rsidRPr="00AF633F">
        <w:rPr>
          <w:rFonts w:ascii="Arial" w:hAnsi="Arial" w:cs="Arial"/>
          <w:b/>
          <w:bCs/>
          <w:sz w:val="24"/>
          <w:szCs w:val="24"/>
        </w:rPr>
        <w:t xml:space="preserve">Background </w:t>
      </w:r>
    </w:p>
    <w:p w14:paraId="3CE5D9C3" w14:textId="7DA22DDA" w:rsidR="00AF633F" w:rsidRPr="00AF633F" w:rsidRDefault="00AF633F" w:rsidP="00AF633F">
      <w:pPr>
        <w:rPr>
          <w:rFonts w:ascii="Arial" w:hAnsi="Arial" w:cs="Arial"/>
          <w:b/>
          <w:bCs/>
          <w:sz w:val="24"/>
          <w:szCs w:val="24"/>
        </w:rPr>
      </w:pPr>
      <w:r w:rsidRPr="00AF633F">
        <w:rPr>
          <w:rFonts w:ascii="Arial" w:hAnsi="Arial" w:cs="Arial"/>
          <w:b/>
          <w:bCs/>
          <w:sz w:val="24"/>
          <w:szCs w:val="24"/>
        </w:rPr>
        <w:t xml:space="preserve">3.0 </w:t>
      </w:r>
      <w:r w:rsidR="00B41DA9">
        <w:rPr>
          <w:rFonts w:ascii="Arial" w:hAnsi="Arial" w:cs="Arial"/>
          <w:b/>
          <w:bCs/>
          <w:sz w:val="24"/>
          <w:szCs w:val="24"/>
        </w:rPr>
        <w:tab/>
      </w:r>
      <w:r w:rsidRPr="00AF633F">
        <w:rPr>
          <w:rFonts w:ascii="Arial" w:hAnsi="Arial" w:cs="Arial"/>
          <w:b/>
          <w:bCs/>
          <w:sz w:val="24"/>
          <w:szCs w:val="24"/>
        </w:rPr>
        <w:t xml:space="preserve">Planning Policy Context </w:t>
      </w:r>
    </w:p>
    <w:p w14:paraId="67BDB054" w14:textId="678D5D9A" w:rsidR="00AF633F" w:rsidRPr="00AF633F" w:rsidRDefault="00AF633F" w:rsidP="00AF633F">
      <w:pPr>
        <w:rPr>
          <w:rFonts w:ascii="Arial" w:hAnsi="Arial" w:cs="Arial"/>
          <w:b/>
          <w:bCs/>
          <w:sz w:val="24"/>
          <w:szCs w:val="24"/>
        </w:rPr>
      </w:pPr>
      <w:r w:rsidRPr="00AF633F">
        <w:rPr>
          <w:rFonts w:ascii="Arial" w:hAnsi="Arial" w:cs="Arial"/>
          <w:b/>
          <w:bCs/>
          <w:sz w:val="24"/>
          <w:szCs w:val="24"/>
        </w:rPr>
        <w:t xml:space="preserve">4.0 </w:t>
      </w:r>
      <w:r w:rsidR="00B41DA9">
        <w:rPr>
          <w:rFonts w:ascii="Arial" w:hAnsi="Arial" w:cs="Arial"/>
          <w:b/>
          <w:bCs/>
          <w:sz w:val="24"/>
          <w:szCs w:val="24"/>
        </w:rPr>
        <w:tab/>
      </w:r>
      <w:r w:rsidRPr="00AF633F">
        <w:rPr>
          <w:rFonts w:ascii="Arial" w:hAnsi="Arial" w:cs="Arial"/>
          <w:b/>
          <w:bCs/>
          <w:sz w:val="24"/>
          <w:szCs w:val="24"/>
        </w:rPr>
        <w:t xml:space="preserve">Why Review Green Belt Boundaries? </w:t>
      </w:r>
    </w:p>
    <w:p w14:paraId="73227FBF" w14:textId="5B55224F" w:rsidR="00AF633F" w:rsidRPr="00AF633F" w:rsidRDefault="00AF633F" w:rsidP="00AF633F">
      <w:pPr>
        <w:rPr>
          <w:rFonts w:ascii="Arial" w:hAnsi="Arial" w:cs="Arial"/>
          <w:b/>
          <w:bCs/>
          <w:sz w:val="24"/>
          <w:szCs w:val="24"/>
        </w:rPr>
      </w:pPr>
      <w:r w:rsidRPr="00AF633F">
        <w:rPr>
          <w:rFonts w:ascii="Arial" w:hAnsi="Arial" w:cs="Arial"/>
          <w:b/>
          <w:bCs/>
          <w:sz w:val="24"/>
          <w:szCs w:val="24"/>
        </w:rPr>
        <w:t xml:space="preserve">5.0 </w:t>
      </w:r>
      <w:r w:rsidR="00B41DA9">
        <w:rPr>
          <w:rFonts w:ascii="Arial" w:hAnsi="Arial" w:cs="Arial"/>
          <w:b/>
          <w:bCs/>
          <w:sz w:val="24"/>
          <w:szCs w:val="24"/>
        </w:rPr>
        <w:tab/>
      </w:r>
      <w:r w:rsidRPr="00AF633F">
        <w:rPr>
          <w:rFonts w:ascii="Arial" w:hAnsi="Arial" w:cs="Arial"/>
          <w:b/>
          <w:bCs/>
          <w:sz w:val="24"/>
          <w:szCs w:val="24"/>
        </w:rPr>
        <w:t xml:space="preserve">Overall Approach </w:t>
      </w:r>
    </w:p>
    <w:p w14:paraId="4A33CDA8" w14:textId="77777777" w:rsidR="00AF633F" w:rsidRDefault="00AF633F" w:rsidP="00AF633F">
      <w:pPr>
        <w:rPr>
          <w:rFonts w:ascii="Arial" w:hAnsi="Arial" w:cs="Arial"/>
          <w:sz w:val="24"/>
          <w:szCs w:val="24"/>
        </w:rPr>
      </w:pPr>
    </w:p>
    <w:p w14:paraId="59B9F57E" w14:textId="77777777" w:rsidR="007A56E5" w:rsidRDefault="007A56E5" w:rsidP="00AF633F">
      <w:pPr>
        <w:rPr>
          <w:rFonts w:ascii="Arial" w:hAnsi="Arial" w:cs="Arial"/>
          <w:sz w:val="24"/>
          <w:szCs w:val="24"/>
        </w:rPr>
      </w:pPr>
    </w:p>
    <w:p w14:paraId="2133DF73" w14:textId="77777777" w:rsidR="00E30FCF" w:rsidRPr="00AF633F" w:rsidRDefault="00E30FCF" w:rsidP="00AF633F">
      <w:pPr>
        <w:rPr>
          <w:rFonts w:ascii="Arial" w:hAnsi="Arial" w:cs="Arial"/>
          <w:b/>
          <w:bCs/>
          <w:sz w:val="24"/>
          <w:szCs w:val="24"/>
        </w:rPr>
      </w:pPr>
    </w:p>
    <w:p w14:paraId="4519B396" w14:textId="1BD4FAAF" w:rsidR="00AF633F" w:rsidRDefault="000A4227" w:rsidP="00AF633F">
      <w:pPr>
        <w:rPr>
          <w:rFonts w:ascii="Arial" w:hAnsi="Arial" w:cs="Arial"/>
          <w:b/>
          <w:bCs/>
          <w:sz w:val="24"/>
          <w:szCs w:val="24"/>
        </w:rPr>
      </w:pPr>
      <w:r>
        <w:rPr>
          <w:rFonts w:ascii="Arial" w:hAnsi="Arial" w:cs="Arial"/>
          <w:b/>
          <w:bCs/>
          <w:sz w:val="24"/>
          <w:szCs w:val="24"/>
        </w:rPr>
        <w:t>Appendix</w:t>
      </w:r>
      <w:r w:rsidRPr="00AF633F">
        <w:rPr>
          <w:rFonts w:ascii="Arial" w:hAnsi="Arial" w:cs="Arial"/>
          <w:b/>
          <w:bCs/>
          <w:sz w:val="24"/>
          <w:szCs w:val="24"/>
        </w:rPr>
        <w:t xml:space="preserve"> </w:t>
      </w:r>
      <w:r w:rsidR="006E65F0">
        <w:rPr>
          <w:rFonts w:ascii="Arial" w:hAnsi="Arial" w:cs="Arial"/>
          <w:b/>
          <w:bCs/>
          <w:sz w:val="24"/>
          <w:szCs w:val="24"/>
        </w:rPr>
        <w:t>1</w:t>
      </w:r>
      <w:r w:rsidR="00AF633F" w:rsidRPr="00AF633F">
        <w:rPr>
          <w:rFonts w:ascii="Arial" w:hAnsi="Arial" w:cs="Arial"/>
          <w:b/>
          <w:bCs/>
          <w:sz w:val="24"/>
          <w:szCs w:val="24"/>
        </w:rPr>
        <w:t xml:space="preserve">: </w:t>
      </w:r>
      <w:r w:rsidR="009E01A8" w:rsidRPr="00AF633F">
        <w:rPr>
          <w:rFonts w:ascii="Arial" w:hAnsi="Arial" w:cs="Arial"/>
          <w:b/>
          <w:bCs/>
          <w:sz w:val="24"/>
          <w:szCs w:val="24"/>
        </w:rPr>
        <w:t>Context Map</w:t>
      </w:r>
      <w:r w:rsidR="009E01A8">
        <w:rPr>
          <w:rFonts w:ascii="Arial" w:hAnsi="Arial" w:cs="Arial"/>
          <w:b/>
          <w:bCs/>
          <w:sz w:val="24"/>
          <w:szCs w:val="24"/>
        </w:rPr>
        <w:t xml:space="preserve"> - s</w:t>
      </w:r>
      <w:r w:rsidR="009E01A8" w:rsidRPr="00AF633F">
        <w:rPr>
          <w:rFonts w:ascii="Arial" w:hAnsi="Arial" w:cs="Arial"/>
          <w:b/>
          <w:bCs/>
          <w:sz w:val="24"/>
          <w:szCs w:val="24"/>
        </w:rPr>
        <w:t xml:space="preserve">howing the extent of the Nottingham-Derby Green Belt </w:t>
      </w:r>
    </w:p>
    <w:p w14:paraId="43F87956" w14:textId="77777777" w:rsidR="007A56E5" w:rsidRDefault="007A56E5" w:rsidP="00AF633F">
      <w:pPr>
        <w:rPr>
          <w:rFonts w:ascii="Arial" w:hAnsi="Arial" w:cs="Arial"/>
          <w:b/>
          <w:bCs/>
          <w:sz w:val="24"/>
          <w:szCs w:val="24"/>
        </w:rPr>
      </w:pPr>
    </w:p>
    <w:p w14:paraId="4E77CF40" w14:textId="54A1C6B1" w:rsidR="00AF633F" w:rsidRPr="00AF633F" w:rsidRDefault="000A4227" w:rsidP="00AF633F">
      <w:pPr>
        <w:rPr>
          <w:rFonts w:ascii="Arial" w:hAnsi="Arial" w:cs="Arial"/>
          <w:b/>
          <w:bCs/>
          <w:sz w:val="24"/>
          <w:szCs w:val="24"/>
        </w:rPr>
      </w:pPr>
      <w:r>
        <w:rPr>
          <w:rFonts w:ascii="Arial" w:hAnsi="Arial" w:cs="Arial"/>
          <w:b/>
          <w:bCs/>
          <w:sz w:val="24"/>
          <w:szCs w:val="24"/>
        </w:rPr>
        <w:t xml:space="preserve">Appendix </w:t>
      </w:r>
      <w:r w:rsidR="00A14AA6">
        <w:rPr>
          <w:rFonts w:ascii="Arial" w:hAnsi="Arial" w:cs="Arial"/>
          <w:b/>
          <w:bCs/>
          <w:sz w:val="24"/>
          <w:szCs w:val="24"/>
        </w:rPr>
        <w:t>2</w:t>
      </w:r>
      <w:r>
        <w:rPr>
          <w:rFonts w:ascii="Arial" w:hAnsi="Arial" w:cs="Arial"/>
          <w:b/>
          <w:bCs/>
          <w:sz w:val="24"/>
          <w:szCs w:val="24"/>
        </w:rPr>
        <w:t xml:space="preserve">: </w:t>
      </w:r>
      <w:r w:rsidR="009E01A8" w:rsidRPr="00AF633F">
        <w:rPr>
          <w:rFonts w:ascii="Arial" w:hAnsi="Arial" w:cs="Arial"/>
          <w:b/>
          <w:bCs/>
          <w:sz w:val="24"/>
          <w:szCs w:val="24"/>
        </w:rPr>
        <w:t>Assessment Matrix</w:t>
      </w:r>
    </w:p>
    <w:p w14:paraId="5B6AE6BB" w14:textId="77777777" w:rsidR="007A56E5" w:rsidRDefault="007A56E5" w:rsidP="00AF633F">
      <w:pPr>
        <w:rPr>
          <w:rFonts w:ascii="Arial" w:hAnsi="Arial" w:cs="Arial"/>
          <w:b/>
          <w:bCs/>
          <w:sz w:val="24"/>
          <w:szCs w:val="24"/>
        </w:rPr>
      </w:pPr>
    </w:p>
    <w:p w14:paraId="6556B95E" w14:textId="2443CAD8" w:rsidR="00AF633F" w:rsidRPr="00AF633F" w:rsidRDefault="00A14AA6" w:rsidP="00AF633F">
      <w:pPr>
        <w:rPr>
          <w:rFonts w:ascii="Arial" w:hAnsi="Arial" w:cs="Arial"/>
          <w:b/>
          <w:bCs/>
          <w:sz w:val="24"/>
          <w:szCs w:val="24"/>
        </w:rPr>
      </w:pPr>
      <w:r>
        <w:rPr>
          <w:rFonts w:ascii="Arial" w:hAnsi="Arial" w:cs="Arial"/>
          <w:b/>
          <w:bCs/>
          <w:sz w:val="24"/>
          <w:szCs w:val="24"/>
        </w:rPr>
        <w:t xml:space="preserve">Appendix 3: </w:t>
      </w:r>
      <w:r w:rsidR="00AF633F" w:rsidRPr="00AF633F">
        <w:rPr>
          <w:rFonts w:ascii="Arial" w:hAnsi="Arial" w:cs="Arial"/>
          <w:b/>
          <w:bCs/>
          <w:sz w:val="24"/>
          <w:szCs w:val="24"/>
        </w:rPr>
        <w:t>Glossary of Terms and Abbreviations</w:t>
      </w:r>
    </w:p>
    <w:p w14:paraId="1357239F" w14:textId="77777777" w:rsidR="00AF633F" w:rsidRDefault="00AF633F" w:rsidP="00AF633F">
      <w:pPr>
        <w:rPr>
          <w:rFonts w:ascii="Arial" w:hAnsi="Arial" w:cs="Arial"/>
          <w:sz w:val="24"/>
          <w:szCs w:val="24"/>
        </w:rPr>
      </w:pPr>
    </w:p>
    <w:p w14:paraId="088BEEF6" w14:textId="77777777" w:rsidR="00AF633F" w:rsidRDefault="00AF633F" w:rsidP="00AF633F">
      <w:pPr>
        <w:rPr>
          <w:rFonts w:ascii="Arial" w:hAnsi="Arial" w:cs="Arial"/>
          <w:sz w:val="24"/>
          <w:szCs w:val="24"/>
        </w:rPr>
      </w:pPr>
    </w:p>
    <w:p w14:paraId="6C7BD126" w14:textId="77777777" w:rsidR="00AF633F" w:rsidRDefault="00AF633F" w:rsidP="00AF633F">
      <w:pPr>
        <w:rPr>
          <w:rFonts w:ascii="Arial" w:hAnsi="Arial" w:cs="Arial"/>
          <w:sz w:val="24"/>
          <w:szCs w:val="24"/>
        </w:rPr>
      </w:pPr>
    </w:p>
    <w:p w14:paraId="3B85EFF5" w14:textId="77777777" w:rsidR="00AF633F" w:rsidRDefault="00AF633F" w:rsidP="00AF633F">
      <w:pPr>
        <w:rPr>
          <w:rFonts w:ascii="Arial" w:hAnsi="Arial" w:cs="Arial"/>
          <w:sz w:val="24"/>
          <w:szCs w:val="24"/>
        </w:rPr>
      </w:pPr>
    </w:p>
    <w:p w14:paraId="475239D2" w14:textId="70A3C575" w:rsidR="00AF633F" w:rsidRDefault="00AF633F">
      <w:pPr>
        <w:rPr>
          <w:rFonts w:ascii="Arial" w:hAnsi="Arial" w:cs="Arial"/>
          <w:sz w:val="24"/>
          <w:szCs w:val="24"/>
        </w:rPr>
      </w:pPr>
      <w:r>
        <w:rPr>
          <w:rFonts w:ascii="Arial" w:hAnsi="Arial" w:cs="Arial"/>
          <w:sz w:val="24"/>
          <w:szCs w:val="24"/>
        </w:rPr>
        <w:br w:type="page"/>
      </w:r>
    </w:p>
    <w:p w14:paraId="1AF9D329" w14:textId="77777777" w:rsidR="00A14AA6" w:rsidRDefault="00AF633F" w:rsidP="00AF633F">
      <w:pPr>
        <w:jc w:val="center"/>
        <w:rPr>
          <w:rFonts w:ascii="Arial" w:hAnsi="Arial" w:cs="Arial"/>
          <w:b/>
          <w:bCs/>
          <w:sz w:val="40"/>
          <w:szCs w:val="40"/>
        </w:rPr>
      </w:pPr>
      <w:r w:rsidRPr="00AF633F">
        <w:rPr>
          <w:rFonts w:ascii="Arial" w:hAnsi="Arial" w:cs="Arial"/>
          <w:b/>
          <w:bCs/>
          <w:sz w:val="40"/>
          <w:szCs w:val="40"/>
        </w:rPr>
        <w:lastRenderedPageBreak/>
        <w:t>Green Belt Assessment Framework</w:t>
      </w:r>
      <w:r w:rsidR="00A14AA6">
        <w:rPr>
          <w:rFonts w:ascii="Arial" w:hAnsi="Arial" w:cs="Arial"/>
          <w:b/>
          <w:bCs/>
          <w:sz w:val="40"/>
          <w:szCs w:val="40"/>
        </w:rPr>
        <w:t xml:space="preserve"> </w:t>
      </w:r>
    </w:p>
    <w:p w14:paraId="1446D6E2" w14:textId="195CDF93" w:rsidR="00AF633F" w:rsidRDefault="00A14AA6" w:rsidP="00AF633F">
      <w:pPr>
        <w:jc w:val="center"/>
        <w:rPr>
          <w:rFonts w:ascii="Arial" w:hAnsi="Arial" w:cs="Arial"/>
          <w:b/>
          <w:bCs/>
          <w:sz w:val="40"/>
          <w:szCs w:val="40"/>
        </w:rPr>
      </w:pPr>
      <w:r>
        <w:rPr>
          <w:rFonts w:ascii="Arial" w:hAnsi="Arial" w:cs="Arial"/>
          <w:b/>
          <w:bCs/>
          <w:sz w:val="40"/>
          <w:szCs w:val="40"/>
        </w:rPr>
        <w:t>for South Nottinghamshire</w:t>
      </w:r>
    </w:p>
    <w:p w14:paraId="37D59A1D" w14:textId="77777777" w:rsidR="00AF633F" w:rsidRPr="00AF633F" w:rsidRDefault="00AF633F" w:rsidP="00AF633F">
      <w:pPr>
        <w:jc w:val="center"/>
        <w:rPr>
          <w:rFonts w:ascii="Arial" w:hAnsi="Arial" w:cs="Arial"/>
          <w:b/>
          <w:bCs/>
          <w:sz w:val="40"/>
          <w:szCs w:val="40"/>
        </w:rPr>
      </w:pPr>
    </w:p>
    <w:p w14:paraId="7CAE61A2" w14:textId="77777777" w:rsidR="00AF633F" w:rsidRPr="00AF633F" w:rsidRDefault="00AF633F" w:rsidP="00AF633F">
      <w:pPr>
        <w:rPr>
          <w:rFonts w:ascii="Arial" w:hAnsi="Arial" w:cs="Arial"/>
          <w:b/>
          <w:bCs/>
          <w:sz w:val="24"/>
          <w:szCs w:val="24"/>
        </w:rPr>
      </w:pPr>
      <w:r w:rsidRPr="00AF633F">
        <w:rPr>
          <w:rFonts w:ascii="Arial" w:hAnsi="Arial" w:cs="Arial"/>
          <w:b/>
          <w:bCs/>
          <w:sz w:val="24"/>
          <w:szCs w:val="24"/>
        </w:rPr>
        <w:t xml:space="preserve">1. Purpose </w:t>
      </w:r>
    </w:p>
    <w:p w14:paraId="4FED15E2" w14:textId="3942F45E" w:rsidR="00915835" w:rsidRDefault="00915835" w:rsidP="007A56E5">
      <w:pPr>
        <w:pStyle w:val="ListParagraph"/>
        <w:numPr>
          <w:ilvl w:val="1"/>
          <w:numId w:val="2"/>
        </w:numPr>
        <w:ind w:left="709" w:hanging="709"/>
        <w:rPr>
          <w:rFonts w:ascii="Arial" w:hAnsi="Arial" w:cs="Arial"/>
          <w:sz w:val="24"/>
          <w:szCs w:val="24"/>
        </w:rPr>
      </w:pPr>
      <w:r>
        <w:rPr>
          <w:rFonts w:ascii="Arial" w:hAnsi="Arial" w:cs="Arial"/>
          <w:sz w:val="24"/>
          <w:szCs w:val="24"/>
        </w:rPr>
        <w:t xml:space="preserve">The Nottingham-Derby Green Belt encircles Nottingham and surrounds the towns lying between Nottingham and Derby, as shown on the map attached at </w:t>
      </w:r>
      <w:r w:rsidRPr="00915835">
        <w:rPr>
          <w:rFonts w:ascii="Arial" w:hAnsi="Arial" w:cs="Arial"/>
          <w:b/>
          <w:bCs/>
          <w:sz w:val="24"/>
          <w:szCs w:val="24"/>
        </w:rPr>
        <w:t>Appendix 1</w:t>
      </w:r>
      <w:r>
        <w:rPr>
          <w:rFonts w:ascii="Arial" w:hAnsi="Arial" w:cs="Arial"/>
          <w:sz w:val="24"/>
          <w:szCs w:val="24"/>
        </w:rPr>
        <w:t>.  It is a long-established policy tool that assists in steering new development to sustainable locations.</w:t>
      </w:r>
    </w:p>
    <w:p w14:paraId="1DFD150A" w14:textId="77777777" w:rsidR="00915835" w:rsidRDefault="00915835" w:rsidP="00915835">
      <w:pPr>
        <w:pStyle w:val="ListParagraph"/>
        <w:ind w:left="709"/>
        <w:rPr>
          <w:rFonts w:ascii="Arial" w:hAnsi="Arial" w:cs="Arial"/>
          <w:sz w:val="24"/>
          <w:szCs w:val="24"/>
        </w:rPr>
      </w:pPr>
    </w:p>
    <w:p w14:paraId="558C0E53" w14:textId="3889EAAF" w:rsidR="00AF633F" w:rsidRDefault="00AF633F" w:rsidP="007A56E5">
      <w:pPr>
        <w:pStyle w:val="ListParagraph"/>
        <w:numPr>
          <w:ilvl w:val="1"/>
          <w:numId w:val="2"/>
        </w:numPr>
        <w:ind w:left="709" w:hanging="709"/>
        <w:rPr>
          <w:rFonts w:ascii="Arial" w:hAnsi="Arial" w:cs="Arial"/>
          <w:sz w:val="24"/>
          <w:szCs w:val="24"/>
        </w:rPr>
      </w:pPr>
      <w:r w:rsidRPr="00AF633F">
        <w:rPr>
          <w:rFonts w:ascii="Arial" w:hAnsi="Arial" w:cs="Arial"/>
          <w:sz w:val="24"/>
          <w:szCs w:val="24"/>
        </w:rPr>
        <w:t>Ashfield, Broxtowe, Gedling</w:t>
      </w:r>
      <w:r w:rsidR="00E30FCF">
        <w:rPr>
          <w:rFonts w:ascii="Arial" w:hAnsi="Arial" w:cs="Arial"/>
          <w:sz w:val="24"/>
          <w:szCs w:val="24"/>
        </w:rPr>
        <w:t>,</w:t>
      </w:r>
      <w:r w:rsidRPr="00AF633F">
        <w:rPr>
          <w:rFonts w:ascii="Arial" w:hAnsi="Arial" w:cs="Arial"/>
          <w:sz w:val="24"/>
          <w:szCs w:val="24"/>
        </w:rPr>
        <w:t xml:space="preserve"> </w:t>
      </w:r>
      <w:r w:rsidR="00C87E52">
        <w:rPr>
          <w:rFonts w:ascii="Arial" w:hAnsi="Arial" w:cs="Arial"/>
          <w:sz w:val="24"/>
          <w:szCs w:val="24"/>
        </w:rPr>
        <w:t xml:space="preserve">Newark and Sherwood, </w:t>
      </w:r>
      <w:r w:rsidRPr="00AF633F">
        <w:rPr>
          <w:rFonts w:ascii="Arial" w:hAnsi="Arial" w:cs="Arial"/>
          <w:sz w:val="24"/>
          <w:szCs w:val="24"/>
        </w:rPr>
        <w:t>Nottingham City</w:t>
      </w:r>
      <w:r w:rsidR="00E30FCF">
        <w:rPr>
          <w:rFonts w:ascii="Arial" w:hAnsi="Arial" w:cs="Arial"/>
          <w:sz w:val="24"/>
          <w:szCs w:val="24"/>
        </w:rPr>
        <w:t xml:space="preserve"> and Rushcliffe</w:t>
      </w:r>
      <w:r w:rsidRPr="00AF633F">
        <w:rPr>
          <w:rFonts w:ascii="Arial" w:hAnsi="Arial" w:cs="Arial"/>
          <w:sz w:val="24"/>
          <w:szCs w:val="24"/>
        </w:rPr>
        <w:t xml:space="preserve"> Councils are working jointly to prepare evidence to support their emerging Local Plans within their authorities.  This document will help inform part of that evidence base by providing a framework to enable </w:t>
      </w:r>
      <w:r w:rsidR="00A6292F">
        <w:rPr>
          <w:rFonts w:ascii="Arial" w:hAnsi="Arial" w:cs="Arial"/>
          <w:sz w:val="24"/>
          <w:szCs w:val="24"/>
        </w:rPr>
        <w:t>each council</w:t>
      </w:r>
      <w:r w:rsidR="00A6292F" w:rsidRPr="00AF633F">
        <w:rPr>
          <w:rFonts w:ascii="Arial" w:hAnsi="Arial" w:cs="Arial"/>
          <w:sz w:val="24"/>
          <w:szCs w:val="24"/>
        </w:rPr>
        <w:t xml:space="preserve"> </w:t>
      </w:r>
      <w:r w:rsidRPr="00AF633F">
        <w:rPr>
          <w:rFonts w:ascii="Arial" w:hAnsi="Arial" w:cs="Arial"/>
          <w:sz w:val="24"/>
          <w:szCs w:val="24"/>
        </w:rPr>
        <w:t>to undertake a robust assessment of Green Belt boundaries within their area. If required, more detailed methodologies, informed by local circumstances, will be set out by each local authority in their Green Belt review documents.</w:t>
      </w:r>
    </w:p>
    <w:p w14:paraId="742CA0AB" w14:textId="77777777" w:rsidR="007A56E5" w:rsidRPr="007A56E5" w:rsidRDefault="007A56E5" w:rsidP="007A56E5">
      <w:pPr>
        <w:pStyle w:val="ListParagraph"/>
        <w:rPr>
          <w:rFonts w:ascii="Arial" w:hAnsi="Arial" w:cs="Arial"/>
          <w:sz w:val="24"/>
          <w:szCs w:val="24"/>
        </w:rPr>
      </w:pPr>
    </w:p>
    <w:p w14:paraId="2167EB2F" w14:textId="5B608E9B" w:rsidR="00B41DA9" w:rsidRDefault="00B41DA9" w:rsidP="007A56E5">
      <w:pPr>
        <w:pStyle w:val="ListParagraph"/>
        <w:numPr>
          <w:ilvl w:val="1"/>
          <w:numId w:val="2"/>
        </w:numPr>
        <w:ind w:left="709" w:hanging="709"/>
        <w:rPr>
          <w:rFonts w:ascii="Arial" w:hAnsi="Arial" w:cs="Arial"/>
          <w:sz w:val="24"/>
          <w:szCs w:val="24"/>
        </w:rPr>
      </w:pPr>
      <w:r>
        <w:rPr>
          <w:rFonts w:ascii="Arial" w:hAnsi="Arial" w:cs="Arial"/>
          <w:sz w:val="24"/>
          <w:szCs w:val="24"/>
        </w:rPr>
        <w:t>Following publication of the updated N</w:t>
      </w:r>
      <w:r w:rsidR="0070206C">
        <w:rPr>
          <w:rFonts w:ascii="Arial" w:hAnsi="Arial" w:cs="Arial"/>
          <w:sz w:val="24"/>
          <w:szCs w:val="24"/>
        </w:rPr>
        <w:t xml:space="preserve">ational </w:t>
      </w:r>
      <w:r>
        <w:rPr>
          <w:rFonts w:ascii="Arial" w:hAnsi="Arial" w:cs="Arial"/>
          <w:sz w:val="24"/>
          <w:szCs w:val="24"/>
        </w:rPr>
        <w:t>P</w:t>
      </w:r>
      <w:r w:rsidR="0070206C">
        <w:rPr>
          <w:rFonts w:ascii="Arial" w:hAnsi="Arial" w:cs="Arial"/>
          <w:sz w:val="24"/>
          <w:szCs w:val="24"/>
        </w:rPr>
        <w:t xml:space="preserve">lanning </w:t>
      </w:r>
      <w:r>
        <w:rPr>
          <w:rFonts w:ascii="Arial" w:hAnsi="Arial" w:cs="Arial"/>
          <w:sz w:val="24"/>
          <w:szCs w:val="24"/>
        </w:rPr>
        <w:t>P</w:t>
      </w:r>
      <w:r w:rsidR="0070206C">
        <w:rPr>
          <w:rFonts w:ascii="Arial" w:hAnsi="Arial" w:cs="Arial"/>
          <w:sz w:val="24"/>
          <w:szCs w:val="24"/>
        </w:rPr>
        <w:t xml:space="preserve">olicy </w:t>
      </w:r>
      <w:r>
        <w:rPr>
          <w:rFonts w:ascii="Arial" w:hAnsi="Arial" w:cs="Arial"/>
          <w:sz w:val="24"/>
          <w:szCs w:val="24"/>
        </w:rPr>
        <w:t>F</w:t>
      </w:r>
      <w:r w:rsidR="0070206C">
        <w:rPr>
          <w:rFonts w:ascii="Arial" w:hAnsi="Arial" w:cs="Arial"/>
          <w:sz w:val="24"/>
          <w:szCs w:val="24"/>
        </w:rPr>
        <w:t>ramework (NPPF)</w:t>
      </w:r>
      <w:r>
        <w:rPr>
          <w:rFonts w:ascii="Arial" w:hAnsi="Arial" w:cs="Arial"/>
          <w:sz w:val="24"/>
          <w:szCs w:val="24"/>
        </w:rPr>
        <w:t xml:space="preserve"> in December 2024, local authorities are</w:t>
      </w:r>
      <w:r w:rsidR="00214694">
        <w:rPr>
          <w:rFonts w:ascii="Arial" w:hAnsi="Arial" w:cs="Arial"/>
          <w:sz w:val="24"/>
          <w:szCs w:val="24"/>
        </w:rPr>
        <w:t xml:space="preserve"> </w:t>
      </w:r>
      <w:r w:rsidR="001709B5">
        <w:rPr>
          <w:rFonts w:ascii="Arial" w:hAnsi="Arial" w:cs="Arial"/>
          <w:sz w:val="24"/>
          <w:szCs w:val="24"/>
        </w:rPr>
        <w:t xml:space="preserve">expected </w:t>
      </w:r>
      <w:r w:rsidR="00214694">
        <w:rPr>
          <w:rFonts w:ascii="Arial" w:hAnsi="Arial" w:cs="Arial"/>
          <w:sz w:val="24"/>
          <w:szCs w:val="24"/>
        </w:rPr>
        <w:t xml:space="preserve">to </w:t>
      </w:r>
      <w:r w:rsidR="001709B5">
        <w:rPr>
          <w:rFonts w:ascii="Arial" w:hAnsi="Arial" w:cs="Arial"/>
          <w:sz w:val="24"/>
          <w:szCs w:val="24"/>
        </w:rPr>
        <w:t xml:space="preserve">produce a Green Belt assessment </w:t>
      </w:r>
      <w:proofErr w:type="gramStart"/>
      <w:r w:rsidR="001709B5">
        <w:rPr>
          <w:rFonts w:ascii="Arial" w:hAnsi="Arial" w:cs="Arial"/>
          <w:sz w:val="24"/>
          <w:szCs w:val="24"/>
        </w:rPr>
        <w:t>in order to</w:t>
      </w:r>
      <w:proofErr w:type="gramEnd"/>
      <w:r w:rsidR="001709B5">
        <w:rPr>
          <w:rFonts w:ascii="Arial" w:hAnsi="Arial" w:cs="Arial"/>
          <w:sz w:val="24"/>
          <w:szCs w:val="24"/>
        </w:rPr>
        <w:t xml:space="preserve"> identify grey belt land and as part of the review of Green Belt boundaries during the preparation o</w:t>
      </w:r>
      <w:r w:rsidR="00915835">
        <w:rPr>
          <w:rFonts w:ascii="Arial" w:hAnsi="Arial" w:cs="Arial"/>
          <w:sz w:val="24"/>
          <w:szCs w:val="24"/>
        </w:rPr>
        <w:t>r</w:t>
      </w:r>
      <w:r w:rsidR="001709B5">
        <w:rPr>
          <w:rFonts w:ascii="Arial" w:hAnsi="Arial" w:cs="Arial"/>
          <w:sz w:val="24"/>
          <w:szCs w:val="24"/>
        </w:rPr>
        <w:t xml:space="preserve"> updating of a local plan.</w:t>
      </w:r>
      <w:r w:rsidR="00CA038A">
        <w:rPr>
          <w:rFonts w:ascii="Arial" w:hAnsi="Arial" w:cs="Arial"/>
          <w:sz w:val="24"/>
          <w:szCs w:val="24"/>
        </w:rPr>
        <w:t xml:space="preserve"> </w:t>
      </w:r>
      <w:r w:rsidR="001709B5">
        <w:rPr>
          <w:rFonts w:ascii="Arial" w:hAnsi="Arial" w:cs="Arial"/>
          <w:sz w:val="24"/>
          <w:szCs w:val="24"/>
        </w:rPr>
        <w:t xml:space="preserve">  </w:t>
      </w:r>
    </w:p>
    <w:p w14:paraId="2AB636F4" w14:textId="77777777" w:rsidR="00B41DA9" w:rsidRPr="00214694" w:rsidRDefault="00B41DA9" w:rsidP="00214694">
      <w:pPr>
        <w:pStyle w:val="ListParagraph"/>
        <w:rPr>
          <w:rFonts w:ascii="Arial" w:hAnsi="Arial" w:cs="Arial"/>
          <w:sz w:val="24"/>
          <w:szCs w:val="24"/>
        </w:rPr>
      </w:pPr>
    </w:p>
    <w:p w14:paraId="619AE1FD" w14:textId="5C8E5371" w:rsidR="00AF633F" w:rsidRPr="007A56E5" w:rsidRDefault="00214694" w:rsidP="007A56E5">
      <w:pPr>
        <w:pStyle w:val="ListParagraph"/>
        <w:numPr>
          <w:ilvl w:val="1"/>
          <w:numId w:val="2"/>
        </w:numPr>
        <w:ind w:left="709" w:hanging="709"/>
        <w:rPr>
          <w:rFonts w:ascii="Arial" w:hAnsi="Arial" w:cs="Arial"/>
          <w:sz w:val="24"/>
          <w:szCs w:val="24"/>
        </w:rPr>
      </w:pPr>
      <w:r>
        <w:rPr>
          <w:rFonts w:ascii="Arial" w:hAnsi="Arial" w:cs="Arial"/>
          <w:sz w:val="24"/>
          <w:szCs w:val="24"/>
        </w:rPr>
        <w:t xml:space="preserve">The updated </w:t>
      </w:r>
      <w:r w:rsidR="00731192">
        <w:rPr>
          <w:rFonts w:ascii="Arial" w:hAnsi="Arial" w:cs="Arial"/>
          <w:sz w:val="24"/>
          <w:szCs w:val="24"/>
        </w:rPr>
        <w:t>Green Belt Assessment Framework</w:t>
      </w:r>
      <w:r>
        <w:rPr>
          <w:rFonts w:ascii="Arial" w:hAnsi="Arial" w:cs="Arial"/>
          <w:sz w:val="24"/>
          <w:szCs w:val="24"/>
        </w:rPr>
        <w:t xml:space="preserve"> is based on the</w:t>
      </w:r>
      <w:hyperlink r:id="rId11" w:history="1">
        <w:r w:rsidR="00892259" w:rsidRPr="002F1F39">
          <w:rPr>
            <w:rStyle w:val="Hyperlink"/>
            <w:rFonts w:ascii="Arial" w:hAnsi="Arial" w:cs="Arial"/>
            <w:sz w:val="24"/>
            <w:szCs w:val="24"/>
          </w:rPr>
          <w:t xml:space="preserve"> </w:t>
        </w:r>
        <w:r w:rsidR="002F1F39" w:rsidRPr="002F1F39">
          <w:rPr>
            <w:rStyle w:val="Hyperlink"/>
            <w:rFonts w:ascii="Arial" w:hAnsi="Arial" w:cs="Arial"/>
            <w:sz w:val="24"/>
            <w:szCs w:val="24"/>
          </w:rPr>
          <w:t>Greater Nottingham and Ashfield Green Belt Assessment Framework 2015</w:t>
        </w:r>
      </w:hyperlink>
      <w:r w:rsidR="002F1F39">
        <w:rPr>
          <w:rFonts w:ascii="Arial" w:hAnsi="Arial" w:cs="Arial"/>
          <w:sz w:val="24"/>
          <w:szCs w:val="24"/>
        </w:rPr>
        <w:t xml:space="preserve"> </w:t>
      </w:r>
      <w:r>
        <w:rPr>
          <w:rFonts w:ascii="Arial" w:hAnsi="Arial" w:cs="Arial"/>
          <w:sz w:val="24"/>
          <w:szCs w:val="24"/>
        </w:rPr>
        <w:t xml:space="preserve">but informed by </w:t>
      </w:r>
      <w:r w:rsidR="0032638F">
        <w:rPr>
          <w:rFonts w:ascii="Arial" w:hAnsi="Arial" w:cs="Arial"/>
          <w:sz w:val="24"/>
          <w:szCs w:val="24"/>
        </w:rPr>
        <w:t xml:space="preserve">the </w:t>
      </w:r>
      <w:r>
        <w:rPr>
          <w:rFonts w:ascii="Arial" w:hAnsi="Arial" w:cs="Arial"/>
          <w:sz w:val="24"/>
          <w:szCs w:val="24"/>
        </w:rPr>
        <w:t xml:space="preserve">Green Belt </w:t>
      </w:r>
      <w:r w:rsidR="0032638F">
        <w:rPr>
          <w:rFonts w:ascii="Arial" w:hAnsi="Arial" w:cs="Arial"/>
          <w:sz w:val="24"/>
          <w:szCs w:val="24"/>
        </w:rPr>
        <w:t xml:space="preserve">national planning practice </w:t>
      </w:r>
      <w:r>
        <w:rPr>
          <w:rFonts w:ascii="Arial" w:hAnsi="Arial" w:cs="Arial"/>
          <w:sz w:val="24"/>
          <w:szCs w:val="24"/>
        </w:rPr>
        <w:t>guidance published on 27</w:t>
      </w:r>
      <w:r w:rsidRPr="00214694">
        <w:rPr>
          <w:rFonts w:ascii="Arial" w:hAnsi="Arial" w:cs="Arial"/>
          <w:sz w:val="24"/>
          <w:szCs w:val="24"/>
          <w:vertAlign w:val="superscript"/>
        </w:rPr>
        <w:t>th</w:t>
      </w:r>
      <w:r>
        <w:rPr>
          <w:rFonts w:ascii="Arial" w:hAnsi="Arial" w:cs="Arial"/>
          <w:sz w:val="24"/>
          <w:szCs w:val="24"/>
        </w:rPr>
        <w:t xml:space="preserve"> February 2025.  </w:t>
      </w:r>
      <w:r w:rsidR="00AF633F" w:rsidRPr="00AF633F">
        <w:rPr>
          <w:rFonts w:ascii="Arial" w:hAnsi="Arial" w:cs="Arial"/>
          <w:sz w:val="24"/>
          <w:szCs w:val="24"/>
        </w:rPr>
        <w:t xml:space="preserve">The purpose of </w:t>
      </w:r>
      <w:r w:rsidR="00892259" w:rsidRPr="00AF633F">
        <w:rPr>
          <w:rFonts w:ascii="Arial" w:hAnsi="Arial" w:cs="Arial"/>
          <w:sz w:val="24"/>
          <w:szCs w:val="24"/>
        </w:rPr>
        <w:t>th</w:t>
      </w:r>
      <w:r w:rsidR="00892259">
        <w:rPr>
          <w:rFonts w:ascii="Arial" w:hAnsi="Arial" w:cs="Arial"/>
          <w:sz w:val="24"/>
          <w:szCs w:val="24"/>
        </w:rPr>
        <w:t>is</w:t>
      </w:r>
      <w:r w:rsidR="00892259" w:rsidRPr="00AF633F">
        <w:rPr>
          <w:rFonts w:ascii="Arial" w:hAnsi="Arial" w:cs="Arial"/>
          <w:sz w:val="24"/>
          <w:szCs w:val="24"/>
        </w:rPr>
        <w:t xml:space="preserve"> </w:t>
      </w:r>
      <w:r w:rsidR="0070206C">
        <w:rPr>
          <w:rFonts w:ascii="Arial" w:hAnsi="Arial" w:cs="Arial"/>
          <w:sz w:val="24"/>
          <w:szCs w:val="24"/>
        </w:rPr>
        <w:t>F</w:t>
      </w:r>
      <w:r w:rsidR="00AF633F" w:rsidRPr="00AF633F">
        <w:rPr>
          <w:rFonts w:ascii="Arial" w:hAnsi="Arial" w:cs="Arial"/>
          <w:sz w:val="24"/>
          <w:szCs w:val="24"/>
        </w:rPr>
        <w:t xml:space="preserve">ramework is to establish a common means of assessing </w:t>
      </w:r>
      <w:r w:rsidR="00AF633F" w:rsidRPr="007A56E5">
        <w:rPr>
          <w:rFonts w:ascii="Arial" w:hAnsi="Arial" w:cs="Arial"/>
          <w:sz w:val="24"/>
          <w:szCs w:val="24"/>
        </w:rPr>
        <w:t xml:space="preserve">the </w:t>
      </w:r>
      <w:r w:rsidR="0064215C">
        <w:rPr>
          <w:rFonts w:ascii="Arial" w:hAnsi="Arial" w:cs="Arial"/>
          <w:sz w:val="24"/>
          <w:szCs w:val="24"/>
        </w:rPr>
        <w:t xml:space="preserve">contribution that </w:t>
      </w:r>
      <w:r w:rsidR="00AF633F" w:rsidRPr="007A56E5">
        <w:rPr>
          <w:rFonts w:ascii="Arial" w:hAnsi="Arial" w:cs="Arial"/>
          <w:sz w:val="24"/>
          <w:szCs w:val="24"/>
        </w:rPr>
        <w:t>Green Belt</w:t>
      </w:r>
      <w:r w:rsidR="0064215C">
        <w:rPr>
          <w:rFonts w:ascii="Arial" w:hAnsi="Arial" w:cs="Arial"/>
          <w:sz w:val="24"/>
          <w:szCs w:val="24"/>
        </w:rPr>
        <w:t xml:space="preserve"> land makes to </w:t>
      </w:r>
      <w:r w:rsidR="0032638F">
        <w:rPr>
          <w:rFonts w:ascii="Arial" w:hAnsi="Arial" w:cs="Arial"/>
          <w:sz w:val="24"/>
          <w:szCs w:val="24"/>
        </w:rPr>
        <w:t xml:space="preserve">the </w:t>
      </w:r>
      <w:r w:rsidR="0064215C">
        <w:rPr>
          <w:rFonts w:ascii="Arial" w:hAnsi="Arial" w:cs="Arial"/>
          <w:sz w:val="24"/>
          <w:szCs w:val="24"/>
        </w:rPr>
        <w:t>Green Belt purposes</w:t>
      </w:r>
      <w:r w:rsidR="00AF633F" w:rsidRPr="007A56E5">
        <w:rPr>
          <w:rFonts w:ascii="Arial" w:hAnsi="Arial" w:cs="Arial"/>
          <w:sz w:val="24"/>
          <w:szCs w:val="24"/>
        </w:rPr>
        <w:t xml:space="preserve"> as set out in the NPPF. </w:t>
      </w:r>
      <w:bookmarkStart w:id="1" w:name="_Hlk197595794"/>
      <w:proofErr w:type="gramStart"/>
      <w:r w:rsidR="00AF633F" w:rsidRPr="007A56E5">
        <w:rPr>
          <w:rFonts w:ascii="Arial" w:hAnsi="Arial" w:cs="Arial"/>
          <w:sz w:val="24"/>
          <w:szCs w:val="24"/>
        </w:rPr>
        <w:t>In particular</w:t>
      </w:r>
      <w:r w:rsidR="002A2F7D">
        <w:rPr>
          <w:rFonts w:ascii="Arial" w:hAnsi="Arial" w:cs="Arial"/>
          <w:sz w:val="24"/>
          <w:szCs w:val="24"/>
        </w:rPr>
        <w:t>,</w:t>
      </w:r>
      <w:r w:rsidR="00AF633F" w:rsidRPr="007A56E5">
        <w:rPr>
          <w:rFonts w:ascii="Arial" w:hAnsi="Arial" w:cs="Arial"/>
          <w:sz w:val="24"/>
          <w:szCs w:val="24"/>
        </w:rPr>
        <w:t xml:space="preserve"> it</w:t>
      </w:r>
      <w:proofErr w:type="gramEnd"/>
      <w:r w:rsidR="00AF633F" w:rsidRPr="007A56E5">
        <w:rPr>
          <w:rFonts w:ascii="Arial" w:hAnsi="Arial" w:cs="Arial"/>
          <w:sz w:val="24"/>
          <w:szCs w:val="24"/>
        </w:rPr>
        <w:t xml:space="preserve"> will help the Councils reach a view on whether there are specific areas of land that could be considered for release from the Green Belt</w:t>
      </w:r>
      <w:r w:rsidR="00E10CD1">
        <w:rPr>
          <w:rFonts w:ascii="Arial" w:hAnsi="Arial" w:cs="Arial"/>
          <w:sz w:val="24"/>
          <w:szCs w:val="24"/>
        </w:rPr>
        <w:t xml:space="preserve"> </w:t>
      </w:r>
      <w:proofErr w:type="gramStart"/>
      <w:r w:rsidR="00E10CD1">
        <w:rPr>
          <w:rFonts w:ascii="Arial" w:hAnsi="Arial" w:cs="Arial"/>
          <w:sz w:val="24"/>
          <w:szCs w:val="24"/>
        </w:rPr>
        <w:t>and also</w:t>
      </w:r>
      <w:proofErr w:type="gramEnd"/>
      <w:r w:rsidR="00E10CD1">
        <w:rPr>
          <w:rFonts w:ascii="Arial" w:hAnsi="Arial" w:cs="Arial"/>
          <w:sz w:val="24"/>
          <w:szCs w:val="24"/>
        </w:rPr>
        <w:t xml:space="preserve"> to identify grey belt</w:t>
      </w:r>
      <w:r w:rsidR="00AF633F" w:rsidRPr="007A56E5">
        <w:rPr>
          <w:rFonts w:ascii="Arial" w:hAnsi="Arial" w:cs="Arial"/>
          <w:sz w:val="24"/>
          <w:szCs w:val="24"/>
        </w:rPr>
        <w:t>. In some instances</w:t>
      </w:r>
      <w:r w:rsidR="00E30FCF">
        <w:rPr>
          <w:rFonts w:ascii="Arial" w:hAnsi="Arial" w:cs="Arial"/>
          <w:sz w:val="24"/>
          <w:szCs w:val="24"/>
        </w:rPr>
        <w:t>,</w:t>
      </w:r>
      <w:r w:rsidR="00AF633F" w:rsidRPr="007A56E5">
        <w:rPr>
          <w:rFonts w:ascii="Arial" w:hAnsi="Arial" w:cs="Arial"/>
          <w:sz w:val="24"/>
          <w:szCs w:val="24"/>
        </w:rPr>
        <w:t xml:space="preserve"> these areas may be allocated for development to meet identified needs. </w:t>
      </w:r>
      <w:bookmarkEnd w:id="1"/>
      <w:r w:rsidR="00AF633F" w:rsidRPr="007A56E5">
        <w:rPr>
          <w:rFonts w:ascii="Arial" w:hAnsi="Arial" w:cs="Arial"/>
          <w:sz w:val="24"/>
          <w:szCs w:val="24"/>
        </w:rPr>
        <w:t>Any release of land from the Green Belt would need to demonstrate exceptional circumstances; this is the subject</w:t>
      </w:r>
      <w:r w:rsidR="007A56E5">
        <w:rPr>
          <w:rFonts w:ascii="Arial" w:hAnsi="Arial" w:cs="Arial"/>
          <w:sz w:val="24"/>
          <w:szCs w:val="24"/>
        </w:rPr>
        <w:t xml:space="preserve"> </w:t>
      </w:r>
      <w:r w:rsidR="00AF633F" w:rsidRPr="007A56E5">
        <w:rPr>
          <w:rFonts w:ascii="Arial" w:hAnsi="Arial" w:cs="Arial"/>
          <w:sz w:val="24"/>
          <w:szCs w:val="24"/>
        </w:rPr>
        <w:t>of consideration in separate documents.</w:t>
      </w:r>
    </w:p>
    <w:p w14:paraId="0DDC83C0" w14:textId="2FE4377B" w:rsidR="00AF633F" w:rsidRPr="007A56E5" w:rsidRDefault="00AF633F" w:rsidP="00AF633F">
      <w:pPr>
        <w:rPr>
          <w:rFonts w:ascii="Arial" w:hAnsi="Arial" w:cs="Arial"/>
          <w:b/>
          <w:bCs/>
          <w:sz w:val="24"/>
          <w:szCs w:val="24"/>
        </w:rPr>
      </w:pPr>
      <w:r w:rsidRPr="007A56E5">
        <w:rPr>
          <w:rFonts w:ascii="Arial" w:hAnsi="Arial" w:cs="Arial"/>
          <w:b/>
          <w:bCs/>
          <w:sz w:val="24"/>
          <w:szCs w:val="24"/>
        </w:rPr>
        <w:t xml:space="preserve">2. Background </w:t>
      </w:r>
    </w:p>
    <w:p w14:paraId="4DF5B82D" w14:textId="6214F819" w:rsidR="00AF633F" w:rsidRPr="00AF633F" w:rsidRDefault="00AF633F" w:rsidP="007A56E5">
      <w:pPr>
        <w:ind w:left="709" w:hanging="709"/>
        <w:rPr>
          <w:rFonts w:ascii="Arial" w:hAnsi="Arial" w:cs="Arial"/>
          <w:sz w:val="24"/>
          <w:szCs w:val="24"/>
        </w:rPr>
      </w:pPr>
      <w:r w:rsidRPr="00AF633F">
        <w:rPr>
          <w:rFonts w:ascii="Arial" w:hAnsi="Arial" w:cs="Arial"/>
          <w:sz w:val="24"/>
          <w:szCs w:val="24"/>
        </w:rPr>
        <w:t xml:space="preserve">2.1 </w:t>
      </w:r>
      <w:r w:rsidR="007A56E5">
        <w:rPr>
          <w:rFonts w:ascii="Arial" w:hAnsi="Arial" w:cs="Arial"/>
          <w:sz w:val="24"/>
          <w:szCs w:val="24"/>
        </w:rPr>
        <w:tab/>
      </w:r>
      <w:r w:rsidRPr="00AF633F">
        <w:rPr>
          <w:rFonts w:ascii="Arial" w:hAnsi="Arial" w:cs="Arial"/>
          <w:sz w:val="24"/>
          <w:szCs w:val="24"/>
        </w:rPr>
        <w:t xml:space="preserve">A Strategic Green Belt Review for Ashfield was completed in </w:t>
      </w:r>
      <w:r w:rsidR="000D55B5">
        <w:rPr>
          <w:rFonts w:ascii="Arial" w:hAnsi="Arial" w:cs="Arial"/>
          <w:sz w:val="24"/>
          <w:szCs w:val="24"/>
        </w:rPr>
        <w:t xml:space="preserve">2016, with an addendum in 2021, </w:t>
      </w:r>
      <w:r w:rsidRPr="00AF633F">
        <w:rPr>
          <w:rFonts w:ascii="Arial" w:hAnsi="Arial" w:cs="Arial"/>
          <w:sz w:val="24"/>
          <w:szCs w:val="24"/>
        </w:rPr>
        <w:t xml:space="preserve">as part of their </w:t>
      </w:r>
      <w:r w:rsidR="000D55B5">
        <w:rPr>
          <w:rFonts w:ascii="Arial" w:hAnsi="Arial" w:cs="Arial"/>
          <w:sz w:val="24"/>
          <w:szCs w:val="24"/>
        </w:rPr>
        <w:t xml:space="preserve">emerging </w:t>
      </w:r>
      <w:r w:rsidRPr="00AF633F">
        <w:rPr>
          <w:rFonts w:ascii="Arial" w:hAnsi="Arial" w:cs="Arial"/>
          <w:sz w:val="24"/>
          <w:szCs w:val="24"/>
        </w:rPr>
        <w:t xml:space="preserve">Local Plan process. </w:t>
      </w:r>
      <w:r w:rsidR="000D55B5">
        <w:rPr>
          <w:rFonts w:ascii="Arial" w:hAnsi="Arial" w:cs="Arial"/>
          <w:sz w:val="24"/>
          <w:szCs w:val="24"/>
        </w:rPr>
        <w:t xml:space="preserve"> More recently, </w:t>
      </w:r>
      <w:r w:rsidR="00802E1C">
        <w:rPr>
          <w:rFonts w:ascii="Arial" w:hAnsi="Arial" w:cs="Arial"/>
          <w:sz w:val="24"/>
          <w:szCs w:val="24"/>
        </w:rPr>
        <w:t xml:space="preserve">in 2023 </w:t>
      </w:r>
      <w:r w:rsidR="000D55B5">
        <w:rPr>
          <w:rFonts w:ascii="Arial" w:hAnsi="Arial" w:cs="Arial"/>
          <w:sz w:val="24"/>
          <w:szCs w:val="24"/>
        </w:rPr>
        <w:t xml:space="preserve">Ashfield completed a Green Belt Harm Assessment to </w:t>
      </w:r>
      <w:r w:rsidR="00802E1C">
        <w:rPr>
          <w:rFonts w:ascii="Arial" w:hAnsi="Arial" w:cs="Arial"/>
          <w:sz w:val="24"/>
          <w:szCs w:val="24"/>
        </w:rPr>
        <w:lastRenderedPageBreak/>
        <w:t>support their</w:t>
      </w:r>
      <w:r w:rsidR="000D55B5">
        <w:rPr>
          <w:rFonts w:ascii="Arial" w:hAnsi="Arial" w:cs="Arial"/>
          <w:sz w:val="24"/>
          <w:szCs w:val="24"/>
        </w:rPr>
        <w:t xml:space="preserve"> Submission</w:t>
      </w:r>
      <w:r w:rsidR="001A1206">
        <w:rPr>
          <w:rFonts w:ascii="Arial" w:hAnsi="Arial" w:cs="Arial"/>
          <w:sz w:val="24"/>
          <w:szCs w:val="24"/>
        </w:rPr>
        <w:t xml:space="preserve"> Draft</w:t>
      </w:r>
      <w:r w:rsidR="000D55B5">
        <w:rPr>
          <w:rFonts w:ascii="Arial" w:hAnsi="Arial" w:cs="Arial"/>
          <w:sz w:val="24"/>
          <w:szCs w:val="24"/>
        </w:rPr>
        <w:t xml:space="preserve"> Local Plan (2023 – 2040).</w:t>
      </w:r>
      <w:r w:rsidR="00802E1C">
        <w:rPr>
          <w:rFonts w:ascii="Arial" w:hAnsi="Arial" w:cs="Arial"/>
          <w:sz w:val="24"/>
          <w:szCs w:val="24"/>
        </w:rPr>
        <w:t xml:space="preserve">  </w:t>
      </w:r>
      <w:bookmarkStart w:id="2" w:name="_Hlk200716103"/>
      <w:r w:rsidR="00605C75">
        <w:rPr>
          <w:rFonts w:ascii="Arial" w:hAnsi="Arial" w:cs="Arial"/>
          <w:sz w:val="24"/>
          <w:szCs w:val="24"/>
        </w:rPr>
        <w:t xml:space="preserve">Both documents are available </w:t>
      </w:r>
      <w:hyperlink r:id="rId12" w:history="1">
        <w:r w:rsidR="00605C75" w:rsidRPr="00605C75">
          <w:rPr>
            <w:rStyle w:val="Hyperlink"/>
            <w:rFonts w:ascii="Arial" w:hAnsi="Arial" w:cs="Arial"/>
            <w:sz w:val="24"/>
            <w:szCs w:val="24"/>
          </w:rPr>
          <w:t>here</w:t>
        </w:r>
      </w:hyperlink>
      <w:r w:rsidR="00605C75">
        <w:rPr>
          <w:rFonts w:ascii="Arial" w:hAnsi="Arial" w:cs="Arial"/>
          <w:sz w:val="24"/>
          <w:szCs w:val="24"/>
        </w:rPr>
        <w:t>.</w:t>
      </w:r>
      <w:bookmarkEnd w:id="2"/>
      <w:r w:rsidR="001A1206">
        <w:rPr>
          <w:rFonts w:ascii="Arial" w:hAnsi="Arial" w:cs="Arial"/>
          <w:sz w:val="24"/>
          <w:szCs w:val="24"/>
        </w:rPr>
        <w:t xml:space="preserve">  </w:t>
      </w:r>
      <w:r w:rsidR="001A1206" w:rsidRPr="001A1206">
        <w:rPr>
          <w:rFonts w:ascii="Arial" w:hAnsi="Arial" w:cs="Arial"/>
          <w:sz w:val="24"/>
          <w:szCs w:val="24"/>
        </w:rPr>
        <w:t xml:space="preserve">The Draft Local Plan 2023 to 2040 is currently at Examination.  As such Ashfield are in a slightly different position to the other Nottinghamshire Green Belt Authorities, in that there is no requirement for a further Green Belt Review </w:t>
      </w:r>
      <w:proofErr w:type="gramStart"/>
      <w:r w:rsidR="001A1206" w:rsidRPr="001A1206">
        <w:rPr>
          <w:rFonts w:ascii="Arial" w:hAnsi="Arial" w:cs="Arial"/>
          <w:sz w:val="24"/>
          <w:szCs w:val="24"/>
        </w:rPr>
        <w:t>at this time</w:t>
      </w:r>
      <w:proofErr w:type="gramEnd"/>
      <w:r w:rsidR="001A1206" w:rsidRPr="001A1206">
        <w:rPr>
          <w:rFonts w:ascii="Arial" w:hAnsi="Arial" w:cs="Arial"/>
          <w:sz w:val="24"/>
          <w:szCs w:val="24"/>
        </w:rPr>
        <w:t>.  Nevertheless, Ashfield recognises the importance of all the Green Belt authorities working together to inform a consistent approach and has fully contributed to the development of the joint methodology.</w:t>
      </w:r>
    </w:p>
    <w:p w14:paraId="294A1217" w14:textId="357BF1BF" w:rsidR="00AF633F" w:rsidRPr="00AF633F" w:rsidRDefault="00AF633F" w:rsidP="007A56E5">
      <w:pPr>
        <w:ind w:left="709" w:hanging="709"/>
        <w:rPr>
          <w:rFonts w:ascii="Arial" w:hAnsi="Arial" w:cs="Arial"/>
          <w:sz w:val="24"/>
          <w:szCs w:val="24"/>
        </w:rPr>
      </w:pPr>
      <w:r w:rsidRPr="00AF633F">
        <w:rPr>
          <w:rFonts w:ascii="Arial" w:hAnsi="Arial" w:cs="Arial"/>
          <w:sz w:val="24"/>
          <w:szCs w:val="24"/>
        </w:rPr>
        <w:t xml:space="preserve">2.2 </w:t>
      </w:r>
      <w:r w:rsidR="007A56E5">
        <w:rPr>
          <w:rFonts w:ascii="Arial" w:hAnsi="Arial" w:cs="Arial"/>
          <w:sz w:val="24"/>
          <w:szCs w:val="24"/>
        </w:rPr>
        <w:tab/>
      </w:r>
      <w:r w:rsidRPr="00AF633F">
        <w:rPr>
          <w:rFonts w:ascii="Arial" w:hAnsi="Arial" w:cs="Arial"/>
          <w:sz w:val="24"/>
          <w:szCs w:val="24"/>
        </w:rPr>
        <w:t>Broxtowe, Gedling</w:t>
      </w:r>
      <w:r w:rsidR="00BF3A6F">
        <w:rPr>
          <w:rFonts w:ascii="Arial" w:hAnsi="Arial" w:cs="Arial"/>
          <w:sz w:val="24"/>
          <w:szCs w:val="24"/>
        </w:rPr>
        <w:t>, Rushcliffe</w:t>
      </w:r>
      <w:r w:rsidRPr="00AF633F">
        <w:rPr>
          <w:rFonts w:ascii="Arial" w:hAnsi="Arial" w:cs="Arial"/>
          <w:sz w:val="24"/>
          <w:szCs w:val="24"/>
        </w:rPr>
        <w:t xml:space="preserve"> and Nottingham City are in a similar position to Ashfield, in that they will also be undertaking further Green Belt reviews (strategic assessment already undertaken, see paragraphs 2.</w:t>
      </w:r>
      <w:r w:rsidR="0064215C">
        <w:rPr>
          <w:rFonts w:ascii="Arial" w:hAnsi="Arial" w:cs="Arial"/>
          <w:sz w:val="24"/>
          <w:szCs w:val="24"/>
        </w:rPr>
        <w:t>3</w:t>
      </w:r>
      <w:r w:rsidRPr="00AF633F">
        <w:rPr>
          <w:rFonts w:ascii="Arial" w:hAnsi="Arial" w:cs="Arial"/>
          <w:sz w:val="24"/>
          <w:szCs w:val="24"/>
        </w:rPr>
        <w:t xml:space="preserve"> - 2.</w:t>
      </w:r>
      <w:r w:rsidR="0064215C">
        <w:rPr>
          <w:rFonts w:ascii="Arial" w:hAnsi="Arial" w:cs="Arial"/>
          <w:sz w:val="24"/>
          <w:szCs w:val="24"/>
        </w:rPr>
        <w:t>8</w:t>
      </w:r>
      <w:r w:rsidRPr="00AF633F">
        <w:rPr>
          <w:rFonts w:ascii="Arial" w:hAnsi="Arial" w:cs="Arial"/>
          <w:sz w:val="24"/>
          <w:szCs w:val="24"/>
        </w:rPr>
        <w:t xml:space="preserve"> below) as part of</w:t>
      </w:r>
      <w:r w:rsidR="00D9741E">
        <w:rPr>
          <w:rFonts w:ascii="Arial" w:hAnsi="Arial" w:cs="Arial"/>
          <w:sz w:val="24"/>
          <w:szCs w:val="24"/>
        </w:rPr>
        <w:t xml:space="preserve"> </w:t>
      </w:r>
      <w:proofErr w:type="gramStart"/>
      <w:r w:rsidR="00E92B9C">
        <w:rPr>
          <w:rFonts w:ascii="Arial" w:hAnsi="Arial" w:cs="Arial"/>
          <w:sz w:val="24"/>
          <w:szCs w:val="24"/>
        </w:rPr>
        <w:t>future plan</w:t>
      </w:r>
      <w:proofErr w:type="gramEnd"/>
      <w:r w:rsidR="00E92B9C">
        <w:rPr>
          <w:rFonts w:ascii="Arial" w:hAnsi="Arial" w:cs="Arial"/>
          <w:sz w:val="24"/>
          <w:szCs w:val="24"/>
        </w:rPr>
        <w:t xml:space="preserve"> making</w:t>
      </w:r>
      <w:r w:rsidRPr="00AF633F">
        <w:rPr>
          <w:rFonts w:ascii="Arial" w:hAnsi="Arial" w:cs="Arial"/>
          <w:sz w:val="24"/>
          <w:szCs w:val="24"/>
        </w:rPr>
        <w:t>. It is considered that a joint approach provides a robust evidence base to support future Development Plan</w:t>
      </w:r>
      <w:r w:rsidR="007A56E5">
        <w:rPr>
          <w:rFonts w:ascii="Arial" w:hAnsi="Arial" w:cs="Arial"/>
          <w:sz w:val="24"/>
          <w:szCs w:val="24"/>
        </w:rPr>
        <w:t xml:space="preserve"> </w:t>
      </w:r>
      <w:r w:rsidRPr="00AF633F">
        <w:rPr>
          <w:rFonts w:ascii="Arial" w:hAnsi="Arial" w:cs="Arial"/>
          <w:sz w:val="24"/>
          <w:szCs w:val="24"/>
        </w:rPr>
        <w:t>Documents whilst satisfying the Duty to Co-operate.</w:t>
      </w:r>
    </w:p>
    <w:p w14:paraId="1A052D6C" w14:textId="1534AD00" w:rsidR="00AF633F" w:rsidRPr="00AF633F" w:rsidRDefault="00AF633F" w:rsidP="007A56E5">
      <w:pPr>
        <w:ind w:left="709" w:hanging="709"/>
        <w:rPr>
          <w:rFonts w:ascii="Arial" w:hAnsi="Arial" w:cs="Arial"/>
          <w:sz w:val="24"/>
          <w:szCs w:val="24"/>
        </w:rPr>
      </w:pPr>
      <w:r w:rsidRPr="00AF633F">
        <w:rPr>
          <w:rFonts w:ascii="Arial" w:hAnsi="Arial" w:cs="Arial"/>
          <w:sz w:val="24"/>
          <w:szCs w:val="24"/>
        </w:rPr>
        <w:t xml:space="preserve">2.3 </w:t>
      </w:r>
      <w:r w:rsidR="007A56E5">
        <w:rPr>
          <w:rFonts w:ascii="Arial" w:hAnsi="Arial" w:cs="Arial"/>
          <w:sz w:val="24"/>
          <w:szCs w:val="24"/>
        </w:rPr>
        <w:tab/>
      </w:r>
      <w:r w:rsidRPr="00AF633F">
        <w:rPr>
          <w:rFonts w:ascii="Arial" w:hAnsi="Arial" w:cs="Arial"/>
          <w:sz w:val="24"/>
          <w:szCs w:val="24"/>
        </w:rPr>
        <w:t>A strategic assessment of the Nottingham-Derby Green Belt has already been undertaken as part of the production of the Broxtowe Borough Council,</w:t>
      </w:r>
      <w:r w:rsidR="007A56E5">
        <w:rPr>
          <w:rFonts w:ascii="Arial" w:hAnsi="Arial" w:cs="Arial"/>
          <w:sz w:val="24"/>
          <w:szCs w:val="24"/>
        </w:rPr>
        <w:t xml:space="preserve"> </w:t>
      </w:r>
      <w:r w:rsidRPr="00AF633F">
        <w:rPr>
          <w:rFonts w:ascii="Arial" w:hAnsi="Arial" w:cs="Arial"/>
          <w:sz w:val="24"/>
          <w:szCs w:val="24"/>
        </w:rPr>
        <w:t>Gedling Borough Council and Nottingham City Council Aligned Core</w:t>
      </w:r>
      <w:r w:rsidR="007A56E5">
        <w:rPr>
          <w:rFonts w:ascii="Arial" w:hAnsi="Arial" w:cs="Arial"/>
          <w:sz w:val="24"/>
          <w:szCs w:val="24"/>
        </w:rPr>
        <w:t xml:space="preserve"> </w:t>
      </w:r>
      <w:r w:rsidRPr="00AF633F">
        <w:rPr>
          <w:rFonts w:ascii="Arial" w:hAnsi="Arial" w:cs="Arial"/>
          <w:sz w:val="24"/>
          <w:szCs w:val="24"/>
        </w:rPr>
        <w:t xml:space="preserve">Strategies. This process is described in section 6.0 of the </w:t>
      </w:r>
      <w:hyperlink r:id="rId13" w:history="1">
        <w:r w:rsidRPr="008E360E">
          <w:rPr>
            <w:rStyle w:val="Hyperlink"/>
            <w:rFonts w:ascii="Arial" w:hAnsi="Arial" w:cs="Arial"/>
            <w:sz w:val="24"/>
            <w:szCs w:val="24"/>
          </w:rPr>
          <w:t>Aligned Core</w:t>
        </w:r>
        <w:r w:rsidR="007A56E5" w:rsidRPr="008E360E">
          <w:rPr>
            <w:rStyle w:val="Hyperlink"/>
            <w:rFonts w:ascii="Arial" w:hAnsi="Arial" w:cs="Arial"/>
            <w:sz w:val="24"/>
            <w:szCs w:val="24"/>
          </w:rPr>
          <w:t xml:space="preserve"> </w:t>
        </w:r>
        <w:r w:rsidRPr="008E360E">
          <w:rPr>
            <w:rStyle w:val="Hyperlink"/>
            <w:rFonts w:ascii="Arial" w:hAnsi="Arial" w:cs="Arial"/>
            <w:sz w:val="24"/>
            <w:szCs w:val="24"/>
          </w:rPr>
          <w:t>Strategy Green Belt Review Background Paper (June 2013)</w:t>
        </w:r>
      </w:hyperlink>
      <w:r w:rsidRPr="00AF633F">
        <w:rPr>
          <w:rFonts w:ascii="Arial" w:hAnsi="Arial" w:cs="Arial"/>
          <w:sz w:val="24"/>
          <w:szCs w:val="24"/>
        </w:rPr>
        <w:t xml:space="preserve"> and will form the basis of any subsequent Green Belt review for Broxtowe, Gedling and Nottingham City. </w:t>
      </w:r>
      <w:r w:rsidR="001B2D60">
        <w:rPr>
          <w:rFonts w:ascii="Arial" w:hAnsi="Arial" w:cs="Arial"/>
          <w:sz w:val="24"/>
          <w:szCs w:val="24"/>
        </w:rPr>
        <w:t xml:space="preserve"> </w:t>
      </w:r>
      <w:r w:rsidRPr="00AF633F">
        <w:rPr>
          <w:rFonts w:ascii="Arial" w:hAnsi="Arial" w:cs="Arial"/>
          <w:sz w:val="24"/>
          <w:szCs w:val="24"/>
        </w:rPr>
        <w:t>Ashfield</w:t>
      </w:r>
      <w:r w:rsidR="001A1206">
        <w:rPr>
          <w:rFonts w:ascii="Arial" w:hAnsi="Arial" w:cs="Arial"/>
          <w:sz w:val="24"/>
          <w:szCs w:val="24"/>
        </w:rPr>
        <w:t>, Newark and Sherwood</w:t>
      </w:r>
      <w:r w:rsidR="001C40DE">
        <w:rPr>
          <w:rFonts w:ascii="Arial" w:hAnsi="Arial" w:cs="Arial"/>
          <w:sz w:val="24"/>
          <w:szCs w:val="24"/>
        </w:rPr>
        <w:t xml:space="preserve"> </w:t>
      </w:r>
      <w:r w:rsidR="001B2D60">
        <w:rPr>
          <w:rFonts w:ascii="Arial" w:hAnsi="Arial" w:cs="Arial"/>
          <w:sz w:val="24"/>
          <w:szCs w:val="24"/>
        </w:rPr>
        <w:t>and Rushcliffe Councils are</w:t>
      </w:r>
      <w:r w:rsidRPr="00AF633F">
        <w:rPr>
          <w:rFonts w:ascii="Arial" w:hAnsi="Arial" w:cs="Arial"/>
          <w:sz w:val="24"/>
          <w:szCs w:val="24"/>
        </w:rPr>
        <w:t xml:space="preserve"> not included in this Background Paper.</w:t>
      </w:r>
    </w:p>
    <w:p w14:paraId="12CBD7A9" w14:textId="678E28A9" w:rsidR="00AF633F" w:rsidRPr="00AF633F" w:rsidRDefault="00AF633F" w:rsidP="007A56E5">
      <w:pPr>
        <w:ind w:left="709" w:hanging="709"/>
        <w:rPr>
          <w:rFonts w:ascii="Arial" w:hAnsi="Arial" w:cs="Arial"/>
          <w:sz w:val="24"/>
          <w:szCs w:val="24"/>
        </w:rPr>
      </w:pPr>
      <w:r w:rsidRPr="00AF633F">
        <w:rPr>
          <w:rFonts w:ascii="Arial" w:hAnsi="Arial" w:cs="Arial"/>
          <w:sz w:val="24"/>
          <w:szCs w:val="24"/>
        </w:rPr>
        <w:t xml:space="preserve">2.4 </w:t>
      </w:r>
      <w:r w:rsidR="007A56E5">
        <w:rPr>
          <w:rFonts w:ascii="Arial" w:hAnsi="Arial" w:cs="Arial"/>
          <w:sz w:val="24"/>
          <w:szCs w:val="24"/>
        </w:rPr>
        <w:tab/>
      </w:r>
      <w:r w:rsidRPr="00AF633F">
        <w:rPr>
          <w:rFonts w:ascii="Arial" w:hAnsi="Arial" w:cs="Arial"/>
          <w:sz w:val="24"/>
          <w:szCs w:val="24"/>
        </w:rPr>
        <w:t>The Green Belt Review Background Paper (June 2013) was based on three previous documents:</w:t>
      </w:r>
    </w:p>
    <w:p w14:paraId="311D31FB" w14:textId="39B265B0"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hyperlink r:id="rId14" w:history="1">
        <w:r w:rsidRPr="008E360E">
          <w:rPr>
            <w:rStyle w:val="Hyperlink"/>
            <w:rFonts w:ascii="Arial" w:hAnsi="Arial" w:cs="Arial"/>
            <w:sz w:val="24"/>
            <w:szCs w:val="24"/>
          </w:rPr>
          <w:t>Nottingham-Derby Green Belt Review (August 2006);</w:t>
        </w:r>
      </w:hyperlink>
    </w:p>
    <w:p w14:paraId="48133DE1" w14:textId="0F946EC9"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hyperlink r:id="rId15" w:history="1">
        <w:r w:rsidRPr="008E360E">
          <w:rPr>
            <w:rStyle w:val="Hyperlink"/>
            <w:rFonts w:ascii="Arial" w:hAnsi="Arial" w:cs="Arial"/>
            <w:sz w:val="24"/>
            <w:szCs w:val="24"/>
          </w:rPr>
          <w:t>Appraisal of Sustainable Urban Extensions (June 2008);</w:t>
        </w:r>
      </w:hyperlink>
    </w:p>
    <w:p w14:paraId="2539B675" w14:textId="73F5D59C"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hyperlink r:id="rId16" w:history="1">
        <w:r w:rsidRPr="008E360E">
          <w:rPr>
            <w:rStyle w:val="Hyperlink"/>
            <w:rFonts w:ascii="Arial" w:hAnsi="Arial" w:cs="Arial"/>
            <w:sz w:val="24"/>
            <w:szCs w:val="24"/>
          </w:rPr>
          <w:t>Greater Nottingham Sustainable Locations for Growth (February 2010).</w:t>
        </w:r>
      </w:hyperlink>
    </w:p>
    <w:p w14:paraId="15E200C7" w14:textId="4C9060D3" w:rsidR="00AF633F" w:rsidRPr="00AF633F" w:rsidRDefault="00AF633F" w:rsidP="007A56E5">
      <w:pPr>
        <w:ind w:left="709" w:hanging="709"/>
        <w:rPr>
          <w:rFonts w:ascii="Arial" w:hAnsi="Arial" w:cs="Arial"/>
          <w:sz w:val="24"/>
          <w:szCs w:val="24"/>
        </w:rPr>
      </w:pPr>
      <w:r w:rsidRPr="00AF633F">
        <w:rPr>
          <w:rFonts w:ascii="Arial" w:hAnsi="Arial" w:cs="Arial"/>
          <w:sz w:val="24"/>
          <w:szCs w:val="24"/>
        </w:rPr>
        <w:t xml:space="preserve">2.5 </w:t>
      </w:r>
      <w:r w:rsidR="007A56E5">
        <w:rPr>
          <w:rFonts w:ascii="Arial" w:hAnsi="Arial" w:cs="Arial"/>
          <w:sz w:val="24"/>
          <w:szCs w:val="24"/>
        </w:rPr>
        <w:tab/>
      </w:r>
      <w:r w:rsidRPr="00AF633F">
        <w:rPr>
          <w:rFonts w:ascii="Arial" w:hAnsi="Arial" w:cs="Arial"/>
          <w:sz w:val="24"/>
          <w:szCs w:val="24"/>
        </w:rPr>
        <w:t>The Nottingham-Derby Green Belt Review (2006) provided strategic guidance as to the relative importance of different areas of the Green Belt around Greater Nottingham in relation to the five purposes of the Green Belt identified</w:t>
      </w:r>
      <w:r w:rsidR="007A56E5">
        <w:rPr>
          <w:rFonts w:ascii="Arial" w:hAnsi="Arial" w:cs="Arial"/>
          <w:sz w:val="24"/>
          <w:szCs w:val="24"/>
        </w:rPr>
        <w:t xml:space="preserve"> </w:t>
      </w:r>
      <w:r w:rsidRPr="00AF633F">
        <w:rPr>
          <w:rFonts w:ascii="Arial" w:hAnsi="Arial" w:cs="Arial"/>
          <w:sz w:val="24"/>
          <w:szCs w:val="24"/>
        </w:rPr>
        <w:t>below. Overall</w:t>
      </w:r>
      <w:r w:rsidR="008E360E">
        <w:rPr>
          <w:rFonts w:ascii="Arial" w:hAnsi="Arial" w:cs="Arial"/>
          <w:sz w:val="24"/>
          <w:szCs w:val="24"/>
        </w:rPr>
        <w:t>,</w:t>
      </w:r>
      <w:r w:rsidRPr="00AF633F">
        <w:rPr>
          <w:rFonts w:ascii="Arial" w:hAnsi="Arial" w:cs="Arial"/>
          <w:sz w:val="24"/>
          <w:szCs w:val="24"/>
        </w:rPr>
        <w:t xml:space="preserve"> it found that the areas between Nottingham and Derby were</w:t>
      </w:r>
      <w:r w:rsidR="007A56E5">
        <w:rPr>
          <w:rFonts w:ascii="Arial" w:hAnsi="Arial" w:cs="Arial"/>
          <w:sz w:val="24"/>
          <w:szCs w:val="24"/>
        </w:rPr>
        <w:t xml:space="preserve"> </w:t>
      </w:r>
      <w:r w:rsidRPr="00AF633F">
        <w:rPr>
          <w:rFonts w:ascii="Arial" w:hAnsi="Arial" w:cs="Arial"/>
          <w:sz w:val="24"/>
          <w:szCs w:val="24"/>
        </w:rPr>
        <w:t>the most important area</w:t>
      </w:r>
      <w:r w:rsidR="0032638F">
        <w:rPr>
          <w:rFonts w:ascii="Arial" w:hAnsi="Arial" w:cs="Arial"/>
          <w:sz w:val="24"/>
          <w:szCs w:val="24"/>
        </w:rPr>
        <w:t>s</w:t>
      </w:r>
      <w:r w:rsidRPr="00AF633F">
        <w:rPr>
          <w:rFonts w:ascii="Arial" w:hAnsi="Arial" w:cs="Arial"/>
          <w:sz w:val="24"/>
          <w:szCs w:val="24"/>
        </w:rPr>
        <w:t xml:space="preserve"> of Green Belt. </w:t>
      </w:r>
      <w:proofErr w:type="gramStart"/>
      <w:r w:rsidRPr="00AF633F">
        <w:rPr>
          <w:rFonts w:ascii="Arial" w:hAnsi="Arial" w:cs="Arial"/>
          <w:sz w:val="24"/>
          <w:szCs w:val="24"/>
        </w:rPr>
        <w:t>Areas</w:t>
      </w:r>
      <w:proofErr w:type="gramEnd"/>
      <w:r w:rsidRPr="00AF633F">
        <w:rPr>
          <w:rFonts w:ascii="Arial" w:hAnsi="Arial" w:cs="Arial"/>
          <w:sz w:val="24"/>
          <w:szCs w:val="24"/>
        </w:rPr>
        <w:t xml:space="preserve"> north of Nottingham and Derby are also important, while areas to the south and east of Nottingham are of lesser importance. </w:t>
      </w:r>
    </w:p>
    <w:p w14:paraId="08461799" w14:textId="12995CA2" w:rsidR="00AF633F" w:rsidRPr="00AF633F" w:rsidRDefault="00AF633F" w:rsidP="007A56E5">
      <w:pPr>
        <w:ind w:left="709" w:hanging="709"/>
        <w:rPr>
          <w:rFonts w:ascii="Arial" w:hAnsi="Arial" w:cs="Arial"/>
          <w:sz w:val="24"/>
          <w:szCs w:val="24"/>
        </w:rPr>
      </w:pPr>
      <w:r w:rsidRPr="00AF633F">
        <w:rPr>
          <w:rFonts w:ascii="Arial" w:hAnsi="Arial" w:cs="Arial"/>
          <w:sz w:val="24"/>
          <w:szCs w:val="24"/>
        </w:rPr>
        <w:t xml:space="preserve">2.6 </w:t>
      </w:r>
      <w:r w:rsidR="007A56E5">
        <w:rPr>
          <w:rFonts w:ascii="Arial" w:hAnsi="Arial" w:cs="Arial"/>
          <w:sz w:val="24"/>
          <w:szCs w:val="24"/>
        </w:rPr>
        <w:tab/>
      </w:r>
      <w:r w:rsidRPr="00AF633F">
        <w:rPr>
          <w:rFonts w:ascii="Arial" w:hAnsi="Arial" w:cs="Arial"/>
          <w:sz w:val="24"/>
          <w:szCs w:val="24"/>
        </w:rPr>
        <w:t xml:space="preserve">The Appraisal of Sustainable Urban Extensions </w:t>
      </w:r>
      <w:r w:rsidR="00C87E52">
        <w:rPr>
          <w:rFonts w:ascii="Arial" w:hAnsi="Arial" w:cs="Arial"/>
          <w:sz w:val="24"/>
          <w:szCs w:val="24"/>
        </w:rPr>
        <w:t>R</w:t>
      </w:r>
      <w:r w:rsidRPr="00AF633F">
        <w:rPr>
          <w:rFonts w:ascii="Arial" w:hAnsi="Arial" w:cs="Arial"/>
          <w:sz w:val="24"/>
          <w:szCs w:val="24"/>
        </w:rPr>
        <w:t>eport</w:t>
      </w:r>
      <w:r w:rsidR="00C87E52">
        <w:rPr>
          <w:rFonts w:ascii="Arial" w:hAnsi="Arial" w:cs="Arial"/>
          <w:sz w:val="24"/>
          <w:szCs w:val="24"/>
        </w:rPr>
        <w:t xml:space="preserve"> (2008)</w:t>
      </w:r>
      <w:r w:rsidRPr="00AF633F">
        <w:rPr>
          <w:rFonts w:ascii="Arial" w:hAnsi="Arial" w:cs="Arial"/>
          <w:sz w:val="24"/>
          <w:szCs w:val="24"/>
        </w:rPr>
        <w:t xml:space="preserve"> </w:t>
      </w:r>
      <w:r w:rsidR="00C574DD">
        <w:rPr>
          <w:rFonts w:ascii="Arial" w:hAnsi="Arial" w:cs="Arial"/>
          <w:sz w:val="24"/>
          <w:szCs w:val="24"/>
        </w:rPr>
        <w:t xml:space="preserve">(‘SUE study’) </w:t>
      </w:r>
      <w:r w:rsidRPr="00AF633F">
        <w:rPr>
          <w:rFonts w:ascii="Arial" w:hAnsi="Arial" w:cs="Arial"/>
          <w:sz w:val="24"/>
          <w:szCs w:val="24"/>
        </w:rPr>
        <w:t xml:space="preserve">assessed locations against </w:t>
      </w:r>
      <w:proofErr w:type="gramStart"/>
      <w:r w:rsidRPr="00AF633F">
        <w:rPr>
          <w:rFonts w:ascii="Arial" w:hAnsi="Arial" w:cs="Arial"/>
          <w:sz w:val="24"/>
          <w:szCs w:val="24"/>
        </w:rPr>
        <w:t>a number of</w:t>
      </w:r>
      <w:proofErr w:type="gramEnd"/>
      <w:r w:rsidRPr="00AF633F">
        <w:rPr>
          <w:rFonts w:ascii="Arial" w:hAnsi="Arial" w:cs="Arial"/>
          <w:sz w:val="24"/>
          <w:szCs w:val="24"/>
        </w:rPr>
        <w:t xml:space="preserve"> criteria, including Green Belt, accessibility and environmental constraints. The Study was focussed on the edge of the main</w:t>
      </w:r>
      <w:r w:rsidR="007A56E5">
        <w:rPr>
          <w:rFonts w:ascii="Arial" w:hAnsi="Arial" w:cs="Arial"/>
          <w:sz w:val="24"/>
          <w:szCs w:val="24"/>
        </w:rPr>
        <w:t xml:space="preserve"> </w:t>
      </w:r>
      <w:proofErr w:type="gramStart"/>
      <w:r w:rsidRPr="00AF633F">
        <w:rPr>
          <w:rFonts w:ascii="Arial" w:hAnsi="Arial" w:cs="Arial"/>
          <w:sz w:val="24"/>
          <w:szCs w:val="24"/>
        </w:rPr>
        <w:t>built up</w:t>
      </w:r>
      <w:proofErr w:type="gramEnd"/>
      <w:r w:rsidRPr="00AF633F">
        <w:rPr>
          <w:rFonts w:ascii="Arial" w:hAnsi="Arial" w:cs="Arial"/>
          <w:sz w:val="24"/>
          <w:szCs w:val="24"/>
        </w:rPr>
        <w:t xml:space="preserve"> area (the Principal Urban Area) as well as the edges of other urban areas (the Sub-Regional Centres of Hucknall and Ilkeston). </w:t>
      </w:r>
      <w:r w:rsidRPr="00AF633F">
        <w:rPr>
          <w:rFonts w:ascii="Arial" w:hAnsi="Arial" w:cs="Arial"/>
          <w:sz w:val="24"/>
          <w:szCs w:val="24"/>
        </w:rPr>
        <w:lastRenderedPageBreak/>
        <w:t>This reflects the point that it was prepared in the context of the Regional Strategy which steered development to these locations.</w:t>
      </w:r>
    </w:p>
    <w:p w14:paraId="3DE79997" w14:textId="2DA61148" w:rsidR="00AF633F" w:rsidRPr="00AF633F" w:rsidRDefault="00AF633F" w:rsidP="007A56E5">
      <w:pPr>
        <w:ind w:left="709" w:hanging="709"/>
        <w:rPr>
          <w:rFonts w:ascii="Arial" w:hAnsi="Arial" w:cs="Arial"/>
          <w:sz w:val="24"/>
          <w:szCs w:val="24"/>
        </w:rPr>
      </w:pPr>
      <w:r w:rsidRPr="00AF633F">
        <w:rPr>
          <w:rFonts w:ascii="Arial" w:hAnsi="Arial" w:cs="Arial"/>
          <w:sz w:val="24"/>
          <w:szCs w:val="24"/>
        </w:rPr>
        <w:t xml:space="preserve">2.7 </w:t>
      </w:r>
      <w:r w:rsidR="007A56E5">
        <w:rPr>
          <w:rFonts w:ascii="Arial" w:hAnsi="Arial" w:cs="Arial"/>
          <w:sz w:val="24"/>
          <w:szCs w:val="24"/>
        </w:rPr>
        <w:tab/>
      </w:r>
      <w:r w:rsidRPr="00AF633F">
        <w:rPr>
          <w:rFonts w:ascii="Arial" w:hAnsi="Arial" w:cs="Arial"/>
          <w:sz w:val="24"/>
          <w:szCs w:val="24"/>
        </w:rPr>
        <w:t>The Sustainable Locations for Growth Report (2010) assessed the appropriateness of development in and around key settlements across Greater Nottingham other than those addressed by the SUE Study. It used similar assessment criteria to the SUE Study including consideration of Green Belt policy.</w:t>
      </w:r>
    </w:p>
    <w:p w14:paraId="14B50AB4" w14:textId="08314A74" w:rsidR="001B2D60" w:rsidRDefault="00D9741E" w:rsidP="001B2D60">
      <w:pPr>
        <w:ind w:left="709" w:hanging="709"/>
        <w:rPr>
          <w:rFonts w:ascii="Arial" w:hAnsi="Arial" w:cs="Arial"/>
          <w:sz w:val="24"/>
          <w:szCs w:val="24"/>
        </w:rPr>
      </w:pPr>
      <w:r>
        <w:rPr>
          <w:rFonts w:ascii="Arial" w:hAnsi="Arial" w:cs="Arial"/>
          <w:sz w:val="24"/>
          <w:szCs w:val="24"/>
        </w:rPr>
        <w:t>2.8</w:t>
      </w:r>
      <w:r>
        <w:rPr>
          <w:rFonts w:ascii="Arial" w:hAnsi="Arial" w:cs="Arial"/>
          <w:sz w:val="24"/>
          <w:szCs w:val="24"/>
        </w:rPr>
        <w:tab/>
      </w:r>
      <w:r w:rsidR="001B2D60" w:rsidRPr="004330A5">
        <w:rPr>
          <w:rStyle w:val="cf01"/>
          <w:rFonts w:ascii="Arial" w:hAnsi="Arial" w:cs="Arial"/>
          <w:sz w:val="24"/>
          <w:szCs w:val="24"/>
        </w:rPr>
        <w:t xml:space="preserve">A strategic assessment of the Nottingham-Derby Green Belt (within Rushcliffe) was also undertaken as part of the production of the Rushcliffe Core Strategy, published in 2014. This assessment process similarly took into consideration the Nottingham-Derby Green Belt Review (2006), Appraisal of Sustainable </w:t>
      </w:r>
      <w:r w:rsidR="001B2D60">
        <w:rPr>
          <w:rStyle w:val="cf01"/>
          <w:rFonts w:ascii="Arial" w:hAnsi="Arial" w:cs="Arial"/>
          <w:sz w:val="24"/>
          <w:szCs w:val="24"/>
        </w:rPr>
        <w:t>U</w:t>
      </w:r>
      <w:r w:rsidR="001B2D60" w:rsidRPr="004330A5">
        <w:rPr>
          <w:rStyle w:val="cf01"/>
          <w:rFonts w:ascii="Arial" w:hAnsi="Arial" w:cs="Arial"/>
          <w:sz w:val="24"/>
          <w:szCs w:val="24"/>
        </w:rPr>
        <w:t>rban Extensions (2008) and Greater Nottingham Sustainable Locations for Growth (2010).</w:t>
      </w:r>
    </w:p>
    <w:p w14:paraId="12901EFB" w14:textId="04451A28" w:rsidR="007A56E5" w:rsidRPr="00BE07C0" w:rsidRDefault="001B2D60" w:rsidP="00D9741E">
      <w:pPr>
        <w:ind w:left="709" w:hanging="709"/>
        <w:rPr>
          <w:rFonts w:ascii="Arial" w:hAnsi="Arial" w:cs="Arial"/>
          <w:sz w:val="24"/>
          <w:szCs w:val="24"/>
        </w:rPr>
      </w:pPr>
      <w:r>
        <w:rPr>
          <w:rFonts w:ascii="Arial" w:hAnsi="Arial" w:cs="Arial"/>
          <w:sz w:val="24"/>
          <w:szCs w:val="24"/>
        </w:rPr>
        <w:t>2.9</w:t>
      </w:r>
      <w:r>
        <w:rPr>
          <w:rFonts w:ascii="Arial" w:hAnsi="Arial" w:cs="Arial"/>
          <w:sz w:val="24"/>
          <w:szCs w:val="24"/>
        </w:rPr>
        <w:tab/>
      </w:r>
      <w:r w:rsidR="00D9741E">
        <w:rPr>
          <w:rFonts w:ascii="Arial" w:hAnsi="Arial" w:cs="Arial"/>
          <w:sz w:val="24"/>
          <w:szCs w:val="24"/>
        </w:rPr>
        <w:t xml:space="preserve">To support the preparation of the Greater Nottingham Strategic Plan, Broxtowe, Gedling, Nottingham City and Rushcliffe Councils undertook a Green Belt review focusing on updating the ‘Broad Area’ assessments, to reflect the removal of land from the Green Belt through the adoption of the </w:t>
      </w:r>
      <w:r w:rsidR="00BE07C0">
        <w:rPr>
          <w:rFonts w:ascii="Arial" w:hAnsi="Arial" w:cs="Arial"/>
          <w:sz w:val="24"/>
          <w:szCs w:val="24"/>
        </w:rPr>
        <w:t xml:space="preserve">Aligned Core Strategies and Part 2 Local Plans and, for some Councils, the granting of planning permission in the Green Belt.  Within Gedling, additional Green Belt assessments were undertaken to cover areas of strategic Safeguarded Land.  The following assessments were updated as part of the </w:t>
      </w:r>
      <w:r w:rsidR="00BE07C0" w:rsidRPr="00BE07C0">
        <w:rPr>
          <w:rFonts w:ascii="Arial" w:hAnsi="Arial" w:cs="Arial"/>
          <w:sz w:val="24"/>
          <w:szCs w:val="24"/>
        </w:rPr>
        <w:t>review:</w:t>
      </w:r>
    </w:p>
    <w:p w14:paraId="35E9FCCC" w14:textId="7418082D" w:rsidR="00BE07C0" w:rsidRPr="00C87E52" w:rsidRDefault="00BE07C0" w:rsidP="00BE07C0">
      <w:pPr>
        <w:ind w:left="1134" w:hanging="425"/>
        <w:rPr>
          <w:rFonts w:ascii="Arial" w:hAnsi="Arial" w:cs="Arial"/>
          <w:sz w:val="24"/>
          <w:szCs w:val="24"/>
        </w:rPr>
      </w:pPr>
      <w:r w:rsidRPr="00BE07C0">
        <w:rPr>
          <w:rFonts w:ascii="Arial" w:hAnsi="Arial" w:cs="Arial"/>
          <w:sz w:val="24"/>
          <w:szCs w:val="24"/>
        </w:rPr>
        <w:sym w:font="Symbol" w:char="F0B7"/>
      </w:r>
      <w:r w:rsidRPr="00C87E52">
        <w:rPr>
          <w:rFonts w:ascii="Arial" w:hAnsi="Arial" w:cs="Arial"/>
          <w:sz w:val="24"/>
          <w:szCs w:val="24"/>
        </w:rPr>
        <w:tab/>
      </w:r>
      <w:hyperlink r:id="rId17" w:history="1">
        <w:r w:rsidRPr="00C87E52">
          <w:rPr>
            <w:rStyle w:val="Hyperlink"/>
            <w:rFonts w:ascii="Arial" w:hAnsi="Arial" w:cs="Arial"/>
            <w:sz w:val="24"/>
            <w:szCs w:val="24"/>
          </w:rPr>
          <w:t>Broxtowe Borough Council Green Belt Review (2015)</w:t>
        </w:r>
      </w:hyperlink>
      <w:r w:rsidRPr="00C87E52">
        <w:rPr>
          <w:rFonts w:ascii="Arial" w:hAnsi="Arial" w:cs="Arial"/>
          <w:sz w:val="24"/>
          <w:szCs w:val="24"/>
        </w:rPr>
        <w:t xml:space="preserve"> </w:t>
      </w:r>
    </w:p>
    <w:p w14:paraId="5478E9BA" w14:textId="331C3CAF" w:rsidR="00BE07C0" w:rsidRPr="00BE07C0" w:rsidRDefault="00BE07C0" w:rsidP="00BE07C0">
      <w:pPr>
        <w:ind w:left="1134" w:hanging="425"/>
        <w:rPr>
          <w:rFonts w:ascii="Arial" w:hAnsi="Arial" w:cs="Arial"/>
          <w:sz w:val="24"/>
          <w:szCs w:val="24"/>
        </w:rPr>
      </w:pPr>
      <w:r w:rsidRPr="00BE07C0">
        <w:rPr>
          <w:rFonts w:ascii="Arial" w:hAnsi="Arial" w:cs="Arial"/>
          <w:sz w:val="24"/>
          <w:szCs w:val="24"/>
        </w:rPr>
        <w:sym w:font="Symbol" w:char="F0B7"/>
      </w:r>
      <w:r w:rsidRPr="00BE07C0">
        <w:rPr>
          <w:rFonts w:ascii="Arial" w:hAnsi="Arial" w:cs="Arial"/>
          <w:sz w:val="24"/>
          <w:szCs w:val="24"/>
        </w:rPr>
        <w:t xml:space="preserve"> </w:t>
      </w:r>
      <w:r w:rsidRPr="00BE07C0">
        <w:rPr>
          <w:rFonts w:ascii="Arial" w:hAnsi="Arial" w:cs="Arial"/>
          <w:sz w:val="24"/>
          <w:szCs w:val="24"/>
        </w:rPr>
        <w:tab/>
      </w:r>
      <w:hyperlink r:id="rId18" w:history="1">
        <w:r w:rsidRPr="00C87E52">
          <w:rPr>
            <w:rStyle w:val="Hyperlink"/>
            <w:rFonts w:ascii="Arial" w:hAnsi="Arial" w:cs="Arial"/>
            <w:sz w:val="24"/>
            <w:szCs w:val="24"/>
          </w:rPr>
          <w:t>Gedling Borough Council Green Belt Review (2015)</w:t>
        </w:r>
      </w:hyperlink>
    </w:p>
    <w:p w14:paraId="3C5F326A" w14:textId="0515B892" w:rsidR="00BE07C0" w:rsidRPr="00BE07C0" w:rsidRDefault="00BE07C0" w:rsidP="00BE07C0">
      <w:pPr>
        <w:ind w:left="1134" w:hanging="425"/>
        <w:rPr>
          <w:rFonts w:ascii="Arial" w:hAnsi="Arial" w:cs="Arial"/>
          <w:sz w:val="24"/>
          <w:szCs w:val="24"/>
        </w:rPr>
      </w:pPr>
      <w:r w:rsidRPr="00BE07C0">
        <w:rPr>
          <w:rFonts w:ascii="Arial" w:hAnsi="Arial" w:cs="Arial"/>
          <w:sz w:val="24"/>
          <w:szCs w:val="24"/>
        </w:rPr>
        <w:sym w:font="Symbol" w:char="F0B7"/>
      </w:r>
      <w:r w:rsidRPr="00BE07C0">
        <w:rPr>
          <w:rFonts w:ascii="Arial" w:hAnsi="Arial" w:cs="Arial"/>
          <w:sz w:val="24"/>
          <w:szCs w:val="24"/>
        </w:rPr>
        <w:t xml:space="preserve"> </w:t>
      </w:r>
      <w:r w:rsidRPr="00BE07C0">
        <w:rPr>
          <w:rFonts w:ascii="Arial" w:hAnsi="Arial" w:cs="Arial"/>
          <w:sz w:val="24"/>
          <w:szCs w:val="24"/>
        </w:rPr>
        <w:tab/>
      </w:r>
      <w:hyperlink r:id="rId19" w:history="1">
        <w:r w:rsidRPr="00C87E52">
          <w:rPr>
            <w:rStyle w:val="Hyperlink"/>
            <w:rFonts w:ascii="Arial" w:hAnsi="Arial" w:cs="Arial"/>
            <w:sz w:val="24"/>
            <w:szCs w:val="24"/>
          </w:rPr>
          <w:t>Nottingham City Council Green Belt Background Paper (2016)</w:t>
        </w:r>
      </w:hyperlink>
      <w:r w:rsidRPr="00BE07C0">
        <w:rPr>
          <w:rFonts w:ascii="Arial" w:hAnsi="Arial" w:cs="Arial"/>
          <w:sz w:val="24"/>
          <w:szCs w:val="24"/>
        </w:rPr>
        <w:t xml:space="preserve"> </w:t>
      </w:r>
    </w:p>
    <w:p w14:paraId="1BC47EE8" w14:textId="1EC30278" w:rsidR="00BE07C0" w:rsidRPr="00BE07C0" w:rsidRDefault="001C40DE" w:rsidP="00BE07C0">
      <w:pPr>
        <w:ind w:left="1134" w:hanging="425"/>
        <w:rPr>
          <w:rFonts w:ascii="Arial" w:hAnsi="Arial" w:cs="Arial"/>
          <w:sz w:val="24"/>
          <w:szCs w:val="24"/>
        </w:rPr>
      </w:pPr>
      <w:r w:rsidRPr="001C40DE">
        <w:rPr>
          <w:rFonts w:ascii="Arial" w:hAnsi="Arial" w:cs="Arial"/>
          <w:sz w:val="24"/>
          <w:szCs w:val="24"/>
        </w:rPr>
        <w:sym w:font="Symbol" w:char="F0B7"/>
      </w:r>
      <w:r w:rsidRPr="001C40DE">
        <w:rPr>
          <w:rFonts w:ascii="Arial" w:hAnsi="Arial" w:cs="Arial"/>
          <w:sz w:val="24"/>
          <w:szCs w:val="24"/>
        </w:rPr>
        <w:t xml:space="preserve"> </w:t>
      </w:r>
      <w:r w:rsidRPr="001C40DE">
        <w:rPr>
          <w:rFonts w:ascii="Arial" w:hAnsi="Arial" w:cs="Arial"/>
          <w:sz w:val="24"/>
          <w:szCs w:val="24"/>
        </w:rPr>
        <w:tab/>
      </w:r>
      <w:hyperlink r:id="rId20" w:history="1">
        <w:r w:rsidRPr="001C40DE">
          <w:rPr>
            <w:rStyle w:val="Hyperlink"/>
            <w:rFonts w:ascii="Arial" w:hAnsi="Arial" w:cs="Arial"/>
            <w:sz w:val="24"/>
            <w:szCs w:val="24"/>
          </w:rPr>
          <w:t>Rushcliffe Borough Council Green Belt Review (2013)</w:t>
        </w:r>
      </w:hyperlink>
      <w:r w:rsidR="00BE07C0" w:rsidRPr="00BE07C0">
        <w:rPr>
          <w:rFonts w:ascii="Arial" w:hAnsi="Arial" w:cs="Arial"/>
          <w:sz w:val="24"/>
          <w:szCs w:val="24"/>
        </w:rPr>
        <w:t xml:space="preserve"> </w:t>
      </w:r>
    </w:p>
    <w:p w14:paraId="7C9406D9" w14:textId="5FDAFE6A" w:rsidR="00BE07C0" w:rsidRPr="00BE07C0" w:rsidRDefault="00BE07C0" w:rsidP="00BE07C0">
      <w:pPr>
        <w:ind w:left="709" w:hanging="709"/>
        <w:rPr>
          <w:rFonts w:ascii="Arial" w:hAnsi="Arial" w:cs="Arial"/>
          <w:sz w:val="24"/>
          <w:szCs w:val="24"/>
        </w:rPr>
      </w:pPr>
      <w:r w:rsidRPr="00BE07C0">
        <w:rPr>
          <w:rFonts w:ascii="Arial" w:hAnsi="Arial" w:cs="Arial"/>
          <w:sz w:val="24"/>
          <w:szCs w:val="24"/>
        </w:rPr>
        <w:t>2.</w:t>
      </w:r>
      <w:r w:rsidR="001B2D60">
        <w:rPr>
          <w:rFonts w:ascii="Arial" w:hAnsi="Arial" w:cs="Arial"/>
          <w:sz w:val="24"/>
          <w:szCs w:val="24"/>
        </w:rPr>
        <w:t>10</w:t>
      </w:r>
      <w:r w:rsidRPr="00BE07C0">
        <w:rPr>
          <w:rFonts w:ascii="Arial" w:hAnsi="Arial" w:cs="Arial"/>
          <w:sz w:val="24"/>
          <w:szCs w:val="24"/>
        </w:rPr>
        <w:tab/>
        <w:t xml:space="preserve">The review documents are available as part of the Greater Nottingham Planning Partnership </w:t>
      </w:r>
      <w:hyperlink r:id="rId21" w:history="1">
        <w:r w:rsidRPr="00A656BE">
          <w:rPr>
            <w:rStyle w:val="Hyperlink"/>
            <w:rFonts w:ascii="Arial" w:hAnsi="Arial" w:cs="Arial"/>
            <w:sz w:val="24"/>
            <w:szCs w:val="24"/>
          </w:rPr>
          <w:t>evidence base</w:t>
        </w:r>
      </w:hyperlink>
      <w:r w:rsidRPr="00BE07C0">
        <w:rPr>
          <w:rFonts w:ascii="Arial" w:hAnsi="Arial" w:cs="Arial"/>
          <w:sz w:val="24"/>
          <w:szCs w:val="24"/>
        </w:rPr>
        <w:t>:</w:t>
      </w:r>
    </w:p>
    <w:p w14:paraId="461F63F9" w14:textId="1DDA2E0D" w:rsidR="00BE07C0" w:rsidRDefault="00BE07C0" w:rsidP="00BE07C0">
      <w:pPr>
        <w:pStyle w:val="ListParagraph"/>
        <w:numPr>
          <w:ilvl w:val="0"/>
          <w:numId w:val="10"/>
        </w:numPr>
        <w:ind w:left="1134" w:hanging="425"/>
        <w:rPr>
          <w:rFonts w:ascii="Arial" w:hAnsi="Arial" w:cs="Arial"/>
          <w:sz w:val="24"/>
          <w:szCs w:val="24"/>
        </w:rPr>
      </w:pPr>
      <w:hyperlink r:id="rId22" w:history="1">
        <w:r w:rsidRPr="00BE07C0">
          <w:rPr>
            <w:rStyle w:val="Hyperlink"/>
            <w:rFonts w:ascii="Arial" w:hAnsi="Arial" w:cs="Arial"/>
            <w:sz w:val="24"/>
            <w:szCs w:val="24"/>
          </w:rPr>
          <w:t>The Green Belt Background Paper (September 2024)</w:t>
        </w:r>
      </w:hyperlink>
    </w:p>
    <w:p w14:paraId="14E9E98B" w14:textId="3DF1CEFF" w:rsidR="00BE07C0" w:rsidRDefault="00BE07C0" w:rsidP="00BE07C0">
      <w:pPr>
        <w:pStyle w:val="ListParagraph"/>
        <w:numPr>
          <w:ilvl w:val="0"/>
          <w:numId w:val="10"/>
        </w:numPr>
        <w:ind w:left="1134" w:hanging="425"/>
        <w:rPr>
          <w:rFonts w:ascii="Arial" w:hAnsi="Arial" w:cs="Arial"/>
          <w:sz w:val="24"/>
          <w:szCs w:val="24"/>
        </w:rPr>
      </w:pPr>
      <w:hyperlink r:id="rId23" w:history="1">
        <w:r w:rsidRPr="00BE07C0">
          <w:rPr>
            <w:rStyle w:val="Hyperlink"/>
            <w:rFonts w:ascii="Arial" w:hAnsi="Arial" w:cs="Arial"/>
            <w:sz w:val="24"/>
            <w:szCs w:val="24"/>
          </w:rPr>
          <w:t>Green Belt Review Methodology (September 2024)</w:t>
        </w:r>
      </w:hyperlink>
    </w:p>
    <w:p w14:paraId="6A01C687" w14:textId="4C7016C2" w:rsidR="00BE07C0" w:rsidRDefault="00BE07C0" w:rsidP="00BE07C0">
      <w:pPr>
        <w:pStyle w:val="ListParagraph"/>
        <w:numPr>
          <w:ilvl w:val="0"/>
          <w:numId w:val="10"/>
        </w:numPr>
        <w:ind w:left="1134" w:hanging="425"/>
        <w:rPr>
          <w:rFonts w:ascii="Arial" w:hAnsi="Arial" w:cs="Arial"/>
          <w:sz w:val="24"/>
          <w:szCs w:val="24"/>
        </w:rPr>
      </w:pPr>
      <w:hyperlink r:id="rId24" w:history="1">
        <w:r w:rsidRPr="00BE07C0">
          <w:rPr>
            <w:rStyle w:val="Hyperlink"/>
            <w:rFonts w:ascii="Arial" w:hAnsi="Arial" w:cs="Arial"/>
            <w:sz w:val="24"/>
            <w:szCs w:val="24"/>
          </w:rPr>
          <w:t>Green Belt Review – Broxtowe Appendix (September 2024)</w:t>
        </w:r>
      </w:hyperlink>
    </w:p>
    <w:p w14:paraId="5E4113AD" w14:textId="23EC538D" w:rsidR="00BE07C0" w:rsidRDefault="00BE07C0" w:rsidP="00BE07C0">
      <w:pPr>
        <w:pStyle w:val="ListParagraph"/>
        <w:numPr>
          <w:ilvl w:val="0"/>
          <w:numId w:val="10"/>
        </w:numPr>
        <w:ind w:left="1134" w:hanging="425"/>
        <w:rPr>
          <w:rFonts w:ascii="Arial" w:hAnsi="Arial" w:cs="Arial"/>
          <w:sz w:val="24"/>
          <w:szCs w:val="24"/>
        </w:rPr>
      </w:pPr>
      <w:hyperlink r:id="rId25" w:history="1">
        <w:r w:rsidRPr="00A656BE">
          <w:rPr>
            <w:rStyle w:val="Hyperlink"/>
            <w:rFonts w:ascii="Arial" w:hAnsi="Arial" w:cs="Arial"/>
            <w:sz w:val="24"/>
            <w:szCs w:val="24"/>
          </w:rPr>
          <w:t>Green Belt Review – Gedling Appendix (September 2024)</w:t>
        </w:r>
      </w:hyperlink>
    </w:p>
    <w:p w14:paraId="209DE1A6" w14:textId="778DF574" w:rsidR="00BE07C0" w:rsidRDefault="00BE07C0" w:rsidP="00BE07C0">
      <w:pPr>
        <w:pStyle w:val="ListParagraph"/>
        <w:numPr>
          <w:ilvl w:val="0"/>
          <w:numId w:val="10"/>
        </w:numPr>
        <w:ind w:left="1134" w:hanging="425"/>
        <w:rPr>
          <w:rFonts w:ascii="Arial" w:hAnsi="Arial" w:cs="Arial"/>
          <w:sz w:val="24"/>
          <w:szCs w:val="24"/>
        </w:rPr>
      </w:pPr>
      <w:hyperlink r:id="rId26" w:history="1">
        <w:r w:rsidRPr="00BE07C0">
          <w:rPr>
            <w:rStyle w:val="Hyperlink"/>
            <w:rFonts w:ascii="Arial" w:hAnsi="Arial" w:cs="Arial"/>
            <w:sz w:val="24"/>
            <w:szCs w:val="24"/>
          </w:rPr>
          <w:t>Green Belt Review – Nottingham City Appendix (September 2024)</w:t>
        </w:r>
      </w:hyperlink>
    </w:p>
    <w:p w14:paraId="6BF28CBD" w14:textId="5FE6F156" w:rsidR="00BE07C0" w:rsidRPr="00BE07C0" w:rsidRDefault="00BE07C0" w:rsidP="00BE07C0">
      <w:pPr>
        <w:pStyle w:val="ListParagraph"/>
        <w:numPr>
          <w:ilvl w:val="0"/>
          <w:numId w:val="10"/>
        </w:numPr>
        <w:ind w:left="1134" w:hanging="425"/>
        <w:rPr>
          <w:rFonts w:ascii="Arial" w:hAnsi="Arial" w:cs="Arial"/>
          <w:sz w:val="24"/>
          <w:szCs w:val="24"/>
        </w:rPr>
      </w:pPr>
      <w:hyperlink r:id="rId27" w:history="1">
        <w:r w:rsidRPr="00BE07C0">
          <w:rPr>
            <w:rStyle w:val="Hyperlink"/>
            <w:rFonts w:ascii="Arial" w:hAnsi="Arial" w:cs="Arial"/>
            <w:sz w:val="24"/>
            <w:szCs w:val="24"/>
          </w:rPr>
          <w:t>Green Belt Review – Rushcliffe Appendix (September 2024)</w:t>
        </w:r>
      </w:hyperlink>
    </w:p>
    <w:p w14:paraId="03ADE274" w14:textId="77777777" w:rsidR="002F1F39" w:rsidRDefault="002F1F39" w:rsidP="002F1F39">
      <w:pPr>
        <w:ind w:left="709" w:hanging="709"/>
        <w:rPr>
          <w:rFonts w:ascii="Arial" w:hAnsi="Arial" w:cs="Arial"/>
          <w:sz w:val="24"/>
          <w:szCs w:val="24"/>
        </w:rPr>
      </w:pPr>
      <w:r>
        <w:rPr>
          <w:rFonts w:ascii="Arial" w:hAnsi="Arial" w:cs="Arial"/>
          <w:sz w:val="24"/>
          <w:szCs w:val="24"/>
        </w:rPr>
        <w:t>2.11</w:t>
      </w:r>
      <w:r>
        <w:rPr>
          <w:rFonts w:ascii="Arial" w:hAnsi="Arial" w:cs="Arial"/>
          <w:sz w:val="24"/>
          <w:szCs w:val="24"/>
        </w:rPr>
        <w:tab/>
        <w:t xml:space="preserve">Newark &amp; Sherwood undertook a Green Belt Study in 2011 to inform the production of its Allocations &amp; Development Management DPD (Adopted 2013). This reviewed potential housing sites around three larger settlements </w:t>
      </w:r>
      <w:r>
        <w:rPr>
          <w:rFonts w:ascii="Arial" w:hAnsi="Arial" w:cs="Arial"/>
          <w:sz w:val="24"/>
          <w:szCs w:val="24"/>
        </w:rPr>
        <w:lastRenderedPageBreak/>
        <w:t xml:space="preserve">in and adjacent to the Green Belt in line with the 2011 Core Strategy requirements. The Amended Core Strategy (Adopted 2019) did not require the review of Green Belt boundaries in the </w:t>
      </w:r>
      <w:proofErr w:type="gramStart"/>
      <w:r>
        <w:rPr>
          <w:rFonts w:ascii="Arial" w:hAnsi="Arial" w:cs="Arial"/>
          <w:sz w:val="24"/>
          <w:szCs w:val="24"/>
        </w:rPr>
        <w:t>District</w:t>
      </w:r>
      <w:proofErr w:type="gramEnd"/>
      <w:r>
        <w:rPr>
          <w:rFonts w:ascii="Arial" w:hAnsi="Arial" w:cs="Arial"/>
          <w:sz w:val="24"/>
          <w:szCs w:val="24"/>
        </w:rPr>
        <w:t xml:space="preserve">.  </w:t>
      </w:r>
    </w:p>
    <w:p w14:paraId="40D523EE" w14:textId="07EFCD77" w:rsidR="002F1F39" w:rsidRDefault="002F1F39" w:rsidP="002F1F39">
      <w:pPr>
        <w:ind w:left="709" w:hanging="709"/>
        <w:rPr>
          <w:rFonts w:ascii="Arial" w:hAnsi="Arial" w:cs="Arial"/>
          <w:sz w:val="24"/>
          <w:szCs w:val="24"/>
        </w:rPr>
      </w:pPr>
      <w:r>
        <w:rPr>
          <w:rFonts w:ascii="Arial" w:hAnsi="Arial" w:cs="Arial"/>
          <w:sz w:val="24"/>
          <w:szCs w:val="24"/>
        </w:rPr>
        <w:t>2.12</w:t>
      </w:r>
      <w:r>
        <w:rPr>
          <w:rFonts w:ascii="Arial" w:hAnsi="Arial" w:cs="Arial"/>
          <w:sz w:val="24"/>
          <w:szCs w:val="24"/>
        </w:rPr>
        <w:tab/>
        <w:t xml:space="preserve">Newark &amp; Sherwood’s Amended Allocations &amp; Development Management DPD is currently being </w:t>
      </w:r>
      <w:proofErr w:type="gramStart"/>
      <w:r>
        <w:rPr>
          <w:rFonts w:ascii="Arial" w:hAnsi="Arial" w:cs="Arial"/>
          <w:sz w:val="24"/>
          <w:szCs w:val="24"/>
        </w:rPr>
        <w:t>examined</w:t>
      </w:r>
      <w:proofErr w:type="gramEnd"/>
      <w:r>
        <w:rPr>
          <w:rFonts w:ascii="Arial" w:hAnsi="Arial" w:cs="Arial"/>
          <w:sz w:val="24"/>
          <w:szCs w:val="24"/>
        </w:rPr>
        <w:t xml:space="preserve"> and the Council is committed to produc</w:t>
      </w:r>
      <w:r w:rsidR="00C574DD">
        <w:rPr>
          <w:rFonts w:ascii="Arial" w:hAnsi="Arial" w:cs="Arial"/>
          <w:sz w:val="24"/>
          <w:szCs w:val="24"/>
        </w:rPr>
        <w:t>ing</w:t>
      </w:r>
      <w:r>
        <w:rPr>
          <w:rFonts w:ascii="Arial" w:hAnsi="Arial" w:cs="Arial"/>
          <w:sz w:val="24"/>
          <w:szCs w:val="24"/>
        </w:rPr>
        <w:t xml:space="preserve"> a new Local Plan under the new regulations (due to be published in Autumn 2025). It has a slightly different context to the other Green Belt authorities in Nottinghamshire, as the Green Belt covers a small percentage </w:t>
      </w:r>
      <w:r w:rsidR="009E01A8">
        <w:rPr>
          <w:rFonts w:ascii="Arial" w:hAnsi="Arial" w:cs="Arial"/>
          <w:sz w:val="24"/>
          <w:szCs w:val="24"/>
        </w:rPr>
        <w:t xml:space="preserve">of the district in the </w:t>
      </w:r>
      <w:r>
        <w:rPr>
          <w:rFonts w:ascii="Arial" w:hAnsi="Arial" w:cs="Arial"/>
          <w:sz w:val="24"/>
          <w:szCs w:val="24"/>
        </w:rPr>
        <w:t xml:space="preserve">southwest corner away from most of the main population centres. </w:t>
      </w:r>
      <w:r w:rsidR="0064215C">
        <w:rPr>
          <w:rFonts w:ascii="Arial" w:hAnsi="Arial" w:cs="Arial"/>
          <w:sz w:val="24"/>
          <w:szCs w:val="24"/>
        </w:rPr>
        <w:t xml:space="preserve"> It i</w:t>
      </w:r>
      <w:r>
        <w:rPr>
          <w:rFonts w:ascii="Arial" w:hAnsi="Arial" w:cs="Arial"/>
          <w:sz w:val="24"/>
          <w:szCs w:val="24"/>
        </w:rPr>
        <w:t xml:space="preserve">s not yet clear the extent to which any Green Belt assessment will need to be undertaken to accommodate growth targets in the new round of plan making.   </w:t>
      </w:r>
    </w:p>
    <w:p w14:paraId="4BD0263F" w14:textId="17B342B9" w:rsidR="002F1F39" w:rsidRDefault="002F1F39" w:rsidP="002F1F39">
      <w:pPr>
        <w:ind w:left="709" w:hanging="709"/>
        <w:rPr>
          <w:rFonts w:ascii="Arial" w:hAnsi="Arial" w:cs="Arial"/>
          <w:sz w:val="24"/>
          <w:szCs w:val="24"/>
        </w:rPr>
      </w:pPr>
      <w:r>
        <w:rPr>
          <w:rFonts w:ascii="Arial" w:hAnsi="Arial" w:cs="Arial"/>
          <w:sz w:val="24"/>
          <w:szCs w:val="24"/>
        </w:rPr>
        <w:t>2.13</w:t>
      </w:r>
      <w:r>
        <w:rPr>
          <w:rFonts w:ascii="Arial" w:hAnsi="Arial" w:cs="Arial"/>
          <w:sz w:val="24"/>
          <w:szCs w:val="24"/>
        </w:rPr>
        <w:tab/>
        <w:t xml:space="preserve">Nevertheless, Newark &amp; Sherwood recognises the importance of all the Green Belt authorities working together and has fully contributed to the development of the joint approach. </w:t>
      </w:r>
    </w:p>
    <w:p w14:paraId="4E787478" w14:textId="0B580EFD" w:rsidR="00BE07C0" w:rsidRDefault="00BE07C0" w:rsidP="00BE07C0">
      <w:pPr>
        <w:rPr>
          <w:rFonts w:ascii="Arial" w:hAnsi="Arial" w:cs="Arial"/>
          <w:sz w:val="24"/>
          <w:szCs w:val="24"/>
        </w:rPr>
      </w:pPr>
    </w:p>
    <w:p w14:paraId="78FC1310" w14:textId="56F1BA97" w:rsidR="00AF633F" w:rsidRPr="007A56E5" w:rsidRDefault="00AF633F" w:rsidP="00AF633F">
      <w:pPr>
        <w:rPr>
          <w:rFonts w:ascii="Arial" w:hAnsi="Arial" w:cs="Arial"/>
          <w:b/>
          <w:bCs/>
          <w:sz w:val="24"/>
          <w:szCs w:val="24"/>
        </w:rPr>
      </w:pPr>
      <w:r w:rsidRPr="007A56E5">
        <w:rPr>
          <w:rFonts w:ascii="Arial" w:hAnsi="Arial" w:cs="Arial"/>
          <w:b/>
          <w:bCs/>
          <w:sz w:val="24"/>
          <w:szCs w:val="24"/>
        </w:rPr>
        <w:t>3. Planning Policy Context</w:t>
      </w:r>
    </w:p>
    <w:p w14:paraId="79744B83" w14:textId="77777777" w:rsidR="00AF633F" w:rsidRPr="007A56E5" w:rsidRDefault="00AF633F" w:rsidP="007A56E5">
      <w:pPr>
        <w:ind w:firstLine="720"/>
        <w:rPr>
          <w:rFonts w:ascii="Arial" w:hAnsi="Arial" w:cs="Arial"/>
          <w:sz w:val="24"/>
          <w:szCs w:val="24"/>
          <w:u w:val="single"/>
        </w:rPr>
      </w:pPr>
      <w:r w:rsidRPr="007A56E5">
        <w:rPr>
          <w:rFonts w:ascii="Arial" w:hAnsi="Arial" w:cs="Arial"/>
          <w:sz w:val="24"/>
          <w:szCs w:val="24"/>
          <w:u w:val="single"/>
        </w:rPr>
        <w:t>National Planning Policy Framework (NPPF)</w:t>
      </w:r>
    </w:p>
    <w:p w14:paraId="5CD09EEB" w14:textId="5CA0CEFB" w:rsidR="00AF633F" w:rsidRPr="00AF633F" w:rsidRDefault="00AF633F" w:rsidP="00715557">
      <w:pPr>
        <w:ind w:left="709" w:hanging="709"/>
        <w:rPr>
          <w:rFonts w:ascii="Arial" w:hAnsi="Arial" w:cs="Arial"/>
          <w:sz w:val="24"/>
          <w:szCs w:val="24"/>
        </w:rPr>
      </w:pPr>
      <w:r w:rsidRPr="00AF633F">
        <w:rPr>
          <w:rFonts w:ascii="Arial" w:hAnsi="Arial" w:cs="Arial"/>
          <w:sz w:val="24"/>
          <w:szCs w:val="24"/>
        </w:rPr>
        <w:t>3.1</w:t>
      </w:r>
      <w:r w:rsidR="00E30FCF">
        <w:rPr>
          <w:rFonts w:ascii="Arial" w:hAnsi="Arial" w:cs="Arial"/>
          <w:sz w:val="24"/>
          <w:szCs w:val="24"/>
        </w:rPr>
        <w:tab/>
      </w:r>
      <w:r w:rsidRPr="00AF633F">
        <w:rPr>
          <w:rFonts w:ascii="Arial" w:hAnsi="Arial" w:cs="Arial"/>
          <w:sz w:val="24"/>
          <w:szCs w:val="24"/>
        </w:rPr>
        <w:t xml:space="preserve">Paragraph </w:t>
      </w:r>
      <w:r w:rsidR="007A5A96">
        <w:rPr>
          <w:rFonts w:ascii="Arial" w:hAnsi="Arial" w:cs="Arial"/>
          <w:sz w:val="24"/>
          <w:szCs w:val="24"/>
        </w:rPr>
        <w:t xml:space="preserve">142 </w:t>
      </w:r>
      <w:r w:rsidRPr="00AF633F">
        <w:rPr>
          <w:rFonts w:ascii="Arial" w:hAnsi="Arial" w:cs="Arial"/>
          <w:sz w:val="24"/>
          <w:szCs w:val="24"/>
        </w:rPr>
        <w:t>of the NPPF states that the Government attaches great importance to Green Belts and stresses that the fundamental aim of Green Belt policy is to prevent urban sprawl by keeping land permanently open; the</w:t>
      </w:r>
      <w:r w:rsidR="007A56E5">
        <w:rPr>
          <w:rFonts w:ascii="Arial" w:hAnsi="Arial" w:cs="Arial"/>
          <w:sz w:val="24"/>
          <w:szCs w:val="24"/>
        </w:rPr>
        <w:t xml:space="preserve"> </w:t>
      </w:r>
      <w:r w:rsidRPr="00AF633F">
        <w:rPr>
          <w:rFonts w:ascii="Arial" w:hAnsi="Arial" w:cs="Arial"/>
          <w:sz w:val="24"/>
          <w:szCs w:val="24"/>
        </w:rPr>
        <w:t>essential characteristics of Green Belts are their openness and their permanence.</w:t>
      </w:r>
    </w:p>
    <w:p w14:paraId="64EA9FA2" w14:textId="4E204AF9" w:rsidR="00AF633F" w:rsidRPr="00AF633F" w:rsidRDefault="00AF633F" w:rsidP="007A56E5">
      <w:pPr>
        <w:ind w:left="709" w:hanging="709"/>
        <w:rPr>
          <w:rFonts w:ascii="Arial" w:hAnsi="Arial" w:cs="Arial"/>
          <w:sz w:val="24"/>
          <w:szCs w:val="24"/>
        </w:rPr>
      </w:pPr>
      <w:r w:rsidRPr="00AF633F">
        <w:rPr>
          <w:rFonts w:ascii="Arial" w:hAnsi="Arial" w:cs="Arial"/>
          <w:sz w:val="24"/>
          <w:szCs w:val="24"/>
        </w:rPr>
        <w:t xml:space="preserve">3.2 </w:t>
      </w:r>
      <w:r w:rsidR="007A56E5">
        <w:rPr>
          <w:rFonts w:ascii="Arial" w:hAnsi="Arial" w:cs="Arial"/>
          <w:sz w:val="24"/>
          <w:szCs w:val="24"/>
        </w:rPr>
        <w:tab/>
      </w:r>
      <w:bookmarkStart w:id="3" w:name="_Hlk205807005"/>
      <w:r w:rsidRPr="00AF633F">
        <w:rPr>
          <w:rFonts w:ascii="Arial" w:hAnsi="Arial" w:cs="Arial"/>
          <w:sz w:val="24"/>
          <w:szCs w:val="24"/>
        </w:rPr>
        <w:t xml:space="preserve">The five purposes of including land in Green Belts, as set out in paragraph </w:t>
      </w:r>
      <w:r w:rsidR="007A5A96">
        <w:rPr>
          <w:rFonts w:ascii="Arial" w:hAnsi="Arial" w:cs="Arial"/>
          <w:sz w:val="24"/>
          <w:szCs w:val="24"/>
        </w:rPr>
        <w:t>143</w:t>
      </w:r>
      <w:r w:rsidR="007A5A96" w:rsidRPr="00AF633F">
        <w:rPr>
          <w:rFonts w:ascii="Arial" w:hAnsi="Arial" w:cs="Arial"/>
          <w:sz w:val="24"/>
          <w:szCs w:val="24"/>
        </w:rPr>
        <w:t xml:space="preserve"> </w:t>
      </w:r>
      <w:r w:rsidRPr="00AF633F">
        <w:rPr>
          <w:rFonts w:ascii="Arial" w:hAnsi="Arial" w:cs="Arial"/>
          <w:sz w:val="24"/>
          <w:szCs w:val="24"/>
        </w:rPr>
        <w:t>of the NPPF, are:</w:t>
      </w:r>
    </w:p>
    <w:p w14:paraId="17FAE857" w14:textId="2608B0CE"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 xml:space="preserve">to check the unrestricted sprawl of large built-up </w:t>
      </w:r>
      <w:proofErr w:type="gramStart"/>
      <w:r w:rsidRPr="00AF633F">
        <w:rPr>
          <w:rFonts w:ascii="Arial" w:hAnsi="Arial" w:cs="Arial"/>
          <w:sz w:val="24"/>
          <w:szCs w:val="24"/>
        </w:rPr>
        <w:t>areas;</w:t>
      </w:r>
      <w:proofErr w:type="gramEnd"/>
    </w:p>
    <w:p w14:paraId="0FB006F5" w14:textId="36738FCD"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 xml:space="preserve">to prevent neighbouring towns from merging into </w:t>
      </w:r>
      <w:proofErr w:type="gramStart"/>
      <w:r w:rsidRPr="00AF633F">
        <w:rPr>
          <w:rFonts w:ascii="Arial" w:hAnsi="Arial" w:cs="Arial"/>
          <w:sz w:val="24"/>
          <w:szCs w:val="24"/>
        </w:rPr>
        <w:t>one another;</w:t>
      </w:r>
      <w:proofErr w:type="gramEnd"/>
    </w:p>
    <w:p w14:paraId="6F07A511" w14:textId="0A607176"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 xml:space="preserve">to assist in safeguarding the countryside from </w:t>
      </w:r>
      <w:proofErr w:type="gramStart"/>
      <w:r w:rsidRPr="00AF633F">
        <w:rPr>
          <w:rFonts w:ascii="Arial" w:hAnsi="Arial" w:cs="Arial"/>
          <w:sz w:val="24"/>
          <w:szCs w:val="24"/>
        </w:rPr>
        <w:t>encroachment;</w:t>
      </w:r>
      <w:proofErr w:type="gramEnd"/>
    </w:p>
    <w:p w14:paraId="135462A2" w14:textId="30ED6202"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 xml:space="preserve">to preserve the setting and special character of historic towns; and </w:t>
      </w:r>
    </w:p>
    <w:p w14:paraId="0BEEAFD0" w14:textId="2927506E"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 xml:space="preserve">to assist in urban regeneration, by encouraging the recycling of derelict and other urban land. </w:t>
      </w:r>
    </w:p>
    <w:bookmarkEnd w:id="3"/>
    <w:p w14:paraId="52435A73" w14:textId="57910A00" w:rsidR="00AF633F" w:rsidRPr="00AF633F" w:rsidRDefault="00AF633F" w:rsidP="007A56E5">
      <w:pPr>
        <w:ind w:left="709" w:hanging="709"/>
        <w:rPr>
          <w:rFonts w:ascii="Arial" w:hAnsi="Arial" w:cs="Arial"/>
          <w:sz w:val="24"/>
          <w:szCs w:val="24"/>
        </w:rPr>
      </w:pPr>
      <w:r w:rsidRPr="00AF633F">
        <w:rPr>
          <w:rFonts w:ascii="Arial" w:hAnsi="Arial" w:cs="Arial"/>
          <w:sz w:val="24"/>
          <w:szCs w:val="24"/>
        </w:rPr>
        <w:t xml:space="preserve">3.3 </w:t>
      </w:r>
      <w:r w:rsidR="007A56E5">
        <w:rPr>
          <w:rFonts w:ascii="Arial" w:hAnsi="Arial" w:cs="Arial"/>
          <w:sz w:val="24"/>
          <w:szCs w:val="24"/>
        </w:rPr>
        <w:tab/>
      </w:r>
      <w:r w:rsidRPr="00AF633F">
        <w:rPr>
          <w:rFonts w:ascii="Arial" w:hAnsi="Arial" w:cs="Arial"/>
          <w:sz w:val="24"/>
          <w:szCs w:val="24"/>
        </w:rPr>
        <w:t xml:space="preserve">Paragraph </w:t>
      </w:r>
      <w:r w:rsidR="00E30FCF">
        <w:rPr>
          <w:rFonts w:ascii="Arial" w:hAnsi="Arial" w:cs="Arial"/>
          <w:sz w:val="24"/>
          <w:szCs w:val="24"/>
        </w:rPr>
        <w:t>145</w:t>
      </w:r>
      <w:r w:rsidR="00E30FCF" w:rsidRPr="00AF633F">
        <w:rPr>
          <w:rFonts w:ascii="Arial" w:hAnsi="Arial" w:cs="Arial"/>
          <w:sz w:val="24"/>
          <w:szCs w:val="24"/>
        </w:rPr>
        <w:t xml:space="preserve"> </w:t>
      </w:r>
      <w:r w:rsidRPr="00AF633F">
        <w:rPr>
          <w:rFonts w:ascii="Arial" w:hAnsi="Arial" w:cs="Arial"/>
          <w:sz w:val="24"/>
          <w:szCs w:val="24"/>
        </w:rPr>
        <w:t xml:space="preserve">of the NPPF identifies that once established, Green Belt boundaries should only be altered </w:t>
      </w:r>
      <w:r w:rsidR="00E30FCF">
        <w:rPr>
          <w:rFonts w:ascii="Arial" w:hAnsi="Arial" w:cs="Arial"/>
          <w:sz w:val="24"/>
          <w:szCs w:val="24"/>
        </w:rPr>
        <w:t>where</w:t>
      </w:r>
      <w:r w:rsidR="00E30FCF" w:rsidRPr="00AF633F">
        <w:rPr>
          <w:rFonts w:ascii="Arial" w:hAnsi="Arial" w:cs="Arial"/>
          <w:sz w:val="24"/>
          <w:szCs w:val="24"/>
        </w:rPr>
        <w:t xml:space="preserve"> </w:t>
      </w:r>
      <w:r w:rsidRPr="00AF633F">
        <w:rPr>
          <w:rFonts w:ascii="Arial" w:hAnsi="Arial" w:cs="Arial"/>
          <w:sz w:val="24"/>
          <w:szCs w:val="24"/>
        </w:rPr>
        <w:t>exceptional circumstances</w:t>
      </w:r>
      <w:r w:rsidR="00E30FCF">
        <w:rPr>
          <w:rFonts w:ascii="Arial" w:hAnsi="Arial" w:cs="Arial"/>
          <w:sz w:val="24"/>
          <w:szCs w:val="24"/>
        </w:rPr>
        <w:t xml:space="preserve"> are fully evidenced and justified</w:t>
      </w:r>
      <w:r w:rsidRPr="00AF633F">
        <w:rPr>
          <w:rFonts w:ascii="Arial" w:hAnsi="Arial" w:cs="Arial"/>
          <w:sz w:val="24"/>
          <w:szCs w:val="24"/>
        </w:rPr>
        <w:t xml:space="preserve"> through the preparation or </w:t>
      </w:r>
      <w:r w:rsidR="00E30FCF">
        <w:rPr>
          <w:rFonts w:ascii="Arial" w:hAnsi="Arial" w:cs="Arial"/>
          <w:sz w:val="24"/>
          <w:szCs w:val="24"/>
        </w:rPr>
        <w:t xml:space="preserve">updating of plans.  Strategic policies should establish the need for any changes to </w:t>
      </w:r>
      <w:r w:rsidRPr="00AF633F">
        <w:rPr>
          <w:rFonts w:ascii="Arial" w:hAnsi="Arial" w:cs="Arial"/>
          <w:sz w:val="24"/>
          <w:szCs w:val="24"/>
        </w:rPr>
        <w:t>Green Belt boundaries</w:t>
      </w:r>
      <w:r w:rsidR="00E30FCF">
        <w:rPr>
          <w:rFonts w:ascii="Arial" w:hAnsi="Arial" w:cs="Arial"/>
          <w:sz w:val="24"/>
          <w:szCs w:val="24"/>
        </w:rPr>
        <w:t>,</w:t>
      </w:r>
      <w:r w:rsidRPr="00AF633F">
        <w:rPr>
          <w:rFonts w:ascii="Arial" w:hAnsi="Arial" w:cs="Arial"/>
          <w:sz w:val="24"/>
          <w:szCs w:val="24"/>
        </w:rPr>
        <w:t xml:space="preserve"> having regard to their intended permanence in the long term, so </w:t>
      </w:r>
      <w:r w:rsidRPr="00AF633F">
        <w:rPr>
          <w:rFonts w:ascii="Arial" w:hAnsi="Arial" w:cs="Arial"/>
          <w:sz w:val="24"/>
          <w:szCs w:val="24"/>
        </w:rPr>
        <w:lastRenderedPageBreak/>
        <w:t xml:space="preserve">they </w:t>
      </w:r>
      <w:r w:rsidR="00E30FCF">
        <w:rPr>
          <w:rFonts w:ascii="Arial" w:hAnsi="Arial" w:cs="Arial"/>
          <w:sz w:val="24"/>
          <w:szCs w:val="24"/>
        </w:rPr>
        <w:t xml:space="preserve">can endure </w:t>
      </w:r>
      <w:r w:rsidRPr="00AF633F">
        <w:rPr>
          <w:rFonts w:ascii="Arial" w:hAnsi="Arial" w:cs="Arial"/>
          <w:sz w:val="24"/>
          <w:szCs w:val="24"/>
        </w:rPr>
        <w:t xml:space="preserve">beyond the plan period. </w:t>
      </w:r>
      <w:r w:rsidR="00E30FCF">
        <w:rPr>
          <w:rFonts w:ascii="Arial" w:hAnsi="Arial" w:cs="Arial"/>
          <w:sz w:val="24"/>
          <w:szCs w:val="24"/>
        </w:rPr>
        <w:t xml:space="preserve"> Where a need for changes to Green Belt boundaries has been established through strategic policies, detailed amendments to those boundaries may be made through non-strategic policies, including neighbourhood plans.</w:t>
      </w:r>
    </w:p>
    <w:p w14:paraId="30959E35" w14:textId="6C544800" w:rsidR="00AF633F" w:rsidRPr="00AF633F" w:rsidRDefault="00E604E2" w:rsidP="007A56E5">
      <w:pPr>
        <w:ind w:left="709" w:hanging="709"/>
        <w:rPr>
          <w:rFonts w:ascii="Arial" w:hAnsi="Arial" w:cs="Arial"/>
          <w:sz w:val="24"/>
          <w:szCs w:val="24"/>
        </w:rPr>
      </w:pPr>
      <w:r>
        <w:rPr>
          <w:rFonts w:ascii="Arial" w:hAnsi="Arial" w:cs="Arial"/>
          <w:sz w:val="24"/>
          <w:szCs w:val="24"/>
        </w:rPr>
        <w:t>3.</w:t>
      </w:r>
      <w:r w:rsidR="00E92B9C">
        <w:rPr>
          <w:rFonts w:ascii="Arial" w:hAnsi="Arial" w:cs="Arial"/>
          <w:sz w:val="24"/>
          <w:szCs w:val="24"/>
        </w:rPr>
        <w:t>4</w:t>
      </w:r>
      <w:r>
        <w:rPr>
          <w:rFonts w:ascii="Arial" w:hAnsi="Arial" w:cs="Arial"/>
          <w:sz w:val="24"/>
          <w:szCs w:val="24"/>
        </w:rPr>
        <w:tab/>
      </w:r>
      <w:r w:rsidR="00AF633F" w:rsidRPr="00AF633F">
        <w:rPr>
          <w:rFonts w:ascii="Arial" w:hAnsi="Arial" w:cs="Arial"/>
          <w:sz w:val="24"/>
          <w:szCs w:val="24"/>
        </w:rPr>
        <w:t xml:space="preserve">The NPPF in paragraph </w:t>
      </w:r>
      <w:r w:rsidR="00E30FCF">
        <w:rPr>
          <w:rFonts w:ascii="Arial" w:hAnsi="Arial" w:cs="Arial"/>
          <w:sz w:val="24"/>
          <w:szCs w:val="24"/>
        </w:rPr>
        <w:t>149</w:t>
      </w:r>
      <w:r w:rsidR="00E30FCF" w:rsidRPr="00AF633F">
        <w:rPr>
          <w:rFonts w:ascii="Arial" w:hAnsi="Arial" w:cs="Arial"/>
          <w:sz w:val="24"/>
          <w:szCs w:val="24"/>
        </w:rPr>
        <w:t xml:space="preserve"> </w:t>
      </w:r>
      <w:r w:rsidR="00AF633F" w:rsidRPr="00AF633F">
        <w:rPr>
          <w:rFonts w:ascii="Arial" w:hAnsi="Arial" w:cs="Arial"/>
          <w:sz w:val="24"/>
          <w:szCs w:val="24"/>
        </w:rPr>
        <w:t xml:space="preserve">provides that when defining </w:t>
      </w:r>
      <w:r w:rsidR="00E30FCF">
        <w:rPr>
          <w:rFonts w:ascii="Arial" w:hAnsi="Arial" w:cs="Arial"/>
          <w:sz w:val="24"/>
          <w:szCs w:val="24"/>
        </w:rPr>
        <w:t xml:space="preserve">Green Belt </w:t>
      </w:r>
      <w:r w:rsidR="00AF633F" w:rsidRPr="00AF633F">
        <w:rPr>
          <w:rFonts w:ascii="Arial" w:hAnsi="Arial" w:cs="Arial"/>
          <w:sz w:val="24"/>
          <w:szCs w:val="24"/>
        </w:rPr>
        <w:t xml:space="preserve">boundaries, </w:t>
      </w:r>
      <w:r w:rsidR="00E30FCF">
        <w:rPr>
          <w:rFonts w:ascii="Arial" w:hAnsi="Arial" w:cs="Arial"/>
          <w:sz w:val="24"/>
          <w:szCs w:val="24"/>
        </w:rPr>
        <w:t>plans</w:t>
      </w:r>
      <w:r w:rsidR="00AF633F" w:rsidRPr="00AF633F">
        <w:rPr>
          <w:rFonts w:ascii="Arial" w:hAnsi="Arial" w:cs="Arial"/>
          <w:sz w:val="24"/>
          <w:szCs w:val="24"/>
        </w:rPr>
        <w:t xml:space="preserve"> should:</w:t>
      </w:r>
    </w:p>
    <w:p w14:paraId="01A63C83" w14:textId="6B54847A"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 xml:space="preserve">ensure consistency with the </w:t>
      </w:r>
      <w:r w:rsidR="00E30FCF">
        <w:rPr>
          <w:rFonts w:ascii="Arial" w:hAnsi="Arial" w:cs="Arial"/>
          <w:sz w:val="24"/>
          <w:szCs w:val="24"/>
        </w:rPr>
        <w:t xml:space="preserve">development plan’s </w:t>
      </w:r>
      <w:r w:rsidRPr="00AF633F">
        <w:rPr>
          <w:rFonts w:ascii="Arial" w:hAnsi="Arial" w:cs="Arial"/>
          <w:sz w:val="24"/>
          <w:szCs w:val="24"/>
        </w:rPr>
        <w:t>strategy for meeting identified</w:t>
      </w:r>
      <w:r w:rsidR="007A56E5">
        <w:rPr>
          <w:rFonts w:ascii="Arial" w:hAnsi="Arial" w:cs="Arial"/>
          <w:sz w:val="24"/>
          <w:szCs w:val="24"/>
        </w:rPr>
        <w:t xml:space="preserve"> </w:t>
      </w:r>
      <w:r w:rsidRPr="00AF633F">
        <w:rPr>
          <w:rFonts w:ascii="Arial" w:hAnsi="Arial" w:cs="Arial"/>
          <w:sz w:val="24"/>
          <w:szCs w:val="24"/>
        </w:rPr>
        <w:t xml:space="preserve">requirements for sustainable </w:t>
      </w:r>
      <w:proofErr w:type="gramStart"/>
      <w:r w:rsidRPr="00AF633F">
        <w:rPr>
          <w:rFonts w:ascii="Arial" w:hAnsi="Arial" w:cs="Arial"/>
          <w:sz w:val="24"/>
          <w:szCs w:val="24"/>
        </w:rPr>
        <w:t>development;</w:t>
      </w:r>
      <w:proofErr w:type="gramEnd"/>
    </w:p>
    <w:p w14:paraId="616C1A2C" w14:textId="1E1B5F4D"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 xml:space="preserve">not include land which it is unnecessary to keep permanently </w:t>
      </w:r>
      <w:proofErr w:type="gramStart"/>
      <w:r w:rsidRPr="00AF633F">
        <w:rPr>
          <w:rFonts w:ascii="Arial" w:hAnsi="Arial" w:cs="Arial"/>
          <w:sz w:val="24"/>
          <w:szCs w:val="24"/>
        </w:rPr>
        <w:t>open;</w:t>
      </w:r>
      <w:proofErr w:type="gramEnd"/>
    </w:p>
    <w:p w14:paraId="07850DC0" w14:textId="0B3E10DC"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 xml:space="preserve">where necessary, identify areas of safeguarded land between the urban area and the Green Belt, </w:t>
      </w:r>
      <w:proofErr w:type="gramStart"/>
      <w:r w:rsidRPr="00AF633F">
        <w:rPr>
          <w:rFonts w:ascii="Arial" w:hAnsi="Arial" w:cs="Arial"/>
          <w:sz w:val="24"/>
          <w:szCs w:val="24"/>
        </w:rPr>
        <w:t>in order to</w:t>
      </w:r>
      <w:proofErr w:type="gramEnd"/>
      <w:r w:rsidRPr="00AF633F">
        <w:rPr>
          <w:rFonts w:ascii="Arial" w:hAnsi="Arial" w:cs="Arial"/>
          <w:sz w:val="24"/>
          <w:szCs w:val="24"/>
        </w:rPr>
        <w:t xml:space="preserve"> meet longer</w:t>
      </w:r>
      <w:r w:rsidR="007A56E5">
        <w:rPr>
          <w:rFonts w:ascii="Arial" w:hAnsi="Arial" w:cs="Arial"/>
          <w:sz w:val="24"/>
          <w:szCs w:val="24"/>
        </w:rPr>
        <w:t xml:space="preserve"> </w:t>
      </w:r>
      <w:r w:rsidRPr="00AF633F">
        <w:rPr>
          <w:rFonts w:ascii="Arial" w:hAnsi="Arial" w:cs="Arial"/>
          <w:sz w:val="24"/>
          <w:szCs w:val="24"/>
        </w:rPr>
        <w:t xml:space="preserve">term development needs stretching well beyond the plan </w:t>
      </w:r>
      <w:proofErr w:type="gramStart"/>
      <w:r w:rsidRPr="00AF633F">
        <w:rPr>
          <w:rFonts w:ascii="Arial" w:hAnsi="Arial" w:cs="Arial"/>
          <w:sz w:val="24"/>
          <w:szCs w:val="24"/>
        </w:rPr>
        <w:t>period;</w:t>
      </w:r>
      <w:proofErr w:type="gramEnd"/>
    </w:p>
    <w:p w14:paraId="7EC0BC39" w14:textId="5A23ACC2"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make clear that the safeguarded land is not allocated for development at the present time. Planning permission for the permanent development of safeguarded land should only be granted following a</w:t>
      </w:r>
      <w:r w:rsidR="00E30FCF">
        <w:rPr>
          <w:rFonts w:ascii="Arial" w:hAnsi="Arial" w:cs="Arial"/>
          <w:sz w:val="24"/>
          <w:szCs w:val="24"/>
        </w:rPr>
        <w:t>n update to a</w:t>
      </w:r>
      <w:r w:rsidRPr="00AF633F">
        <w:rPr>
          <w:rFonts w:ascii="Arial" w:hAnsi="Arial" w:cs="Arial"/>
          <w:sz w:val="24"/>
          <w:szCs w:val="24"/>
        </w:rPr>
        <w:t xml:space="preserve"> plan which proposes the </w:t>
      </w:r>
      <w:proofErr w:type="gramStart"/>
      <w:r w:rsidRPr="00AF633F">
        <w:rPr>
          <w:rFonts w:ascii="Arial" w:hAnsi="Arial" w:cs="Arial"/>
          <w:sz w:val="24"/>
          <w:szCs w:val="24"/>
        </w:rPr>
        <w:t>development;</w:t>
      </w:r>
      <w:proofErr w:type="gramEnd"/>
    </w:p>
    <w:p w14:paraId="39259463" w14:textId="7F1D7417"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r w:rsidR="00742684">
        <w:rPr>
          <w:rFonts w:ascii="Arial" w:hAnsi="Arial" w:cs="Arial"/>
          <w:sz w:val="24"/>
          <w:szCs w:val="24"/>
        </w:rPr>
        <w:t>be able to demonstrate</w:t>
      </w:r>
      <w:r w:rsidRPr="00AF633F">
        <w:rPr>
          <w:rFonts w:ascii="Arial" w:hAnsi="Arial" w:cs="Arial"/>
          <w:sz w:val="24"/>
          <w:szCs w:val="24"/>
        </w:rPr>
        <w:t xml:space="preserve"> that Green Belt boundaries will not need to be altered at the end of the plan period; and</w:t>
      </w:r>
    </w:p>
    <w:p w14:paraId="1AB70377" w14:textId="3E67E52D" w:rsidR="00AF633F" w:rsidRPr="00AF633F" w:rsidRDefault="00AF633F" w:rsidP="007A56E5">
      <w:pPr>
        <w:ind w:left="1134" w:hanging="425"/>
        <w:rPr>
          <w:rFonts w:ascii="Arial" w:hAnsi="Arial" w:cs="Arial"/>
          <w:sz w:val="24"/>
          <w:szCs w:val="24"/>
        </w:rPr>
      </w:pP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define boundaries clearly, using physical features that are readily recognisable and likely to be permanent.</w:t>
      </w:r>
    </w:p>
    <w:p w14:paraId="7A0CACBE" w14:textId="75720B20" w:rsidR="00AF633F" w:rsidRPr="00AF633F" w:rsidRDefault="00AF633F" w:rsidP="00AF633F">
      <w:pPr>
        <w:rPr>
          <w:rFonts w:ascii="Arial" w:hAnsi="Arial" w:cs="Arial"/>
          <w:sz w:val="24"/>
          <w:szCs w:val="24"/>
        </w:rPr>
      </w:pPr>
    </w:p>
    <w:p w14:paraId="534BDDEC" w14:textId="7991359B" w:rsidR="00AF633F" w:rsidRPr="007A56E5" w:rsidRDefault="00AF633F" w:rsidP="00AF633F">
      <w:pPr>
        <w:rPr>
          <w:rFonts w:ascii="Arial" w:hAnsi="Arial" w:cs="Arial"/>
          <w:b/>
          <w:bCs/>
          <w:sz w:val="24"/>
          <w:szCs w:val="24"/>
        </w:rPr>
      </w:pPr>
      <w:r w:rsidRPr="007A56E5">
        <w:rPr>
          <w:rFonts w:ascii="Arial" w:hAnsi="Arial" w:cs="Arial"/>
          <w:b/>
          <w:bCs/>
          <w:sz w:val="24"/>
          <w:szCs w:val="24"/>
        </w:rPr>
        <w:t>4. Why Review Green Belt Boundaries?</w:t>
      </w:r>
    </w:p>
    <w:p w14:paraId="2F2DBBA6" w14:textId="7EF70087" w:rsidR="00742684" w:rsidRPr="001B2D60" w:rsidRDefault="00AF633F" w:rsidP="007A56E5">
      <w:pPr>
        <w:ind w:left="709" w:hanging="709"/>
        <w:rPr>
          <w:rFonts w:ascii="Arial" w:hAnsi="Arial" w:cs="Arial"/>
          <w:i/>
          <w:iCs/>
          <w:sz w:val="24"/>
          <w:szCs w:val="24"/>
        </w:rPr>
      </w:pPr>
      <w:r w:rsidRPr="00AF633F">
        <w:rPr>
          <w:rFonts w:ascii="Arial" w:hAnsi="Arial" w:cs="Arial"/>
          <w:sz w:val="24"/>
          <w:szCs w:val="24"/>
        </w:rPr>
        <w:t xml:space="preserve">4.1 </w:t>
      </w:r>
      <w:r w:rsidR="009E01A8">
        <w:rPr>
          <w:rFonts w:ascii="Arial" w:hAnsi="Arial" w:cs="Arial"/>
          <w:sz w:val="24"/>
          <w:szCs w:val="24"/>
        </w:rPr>
        <w:tab/>
      </w:r>
      <w:r w:rsidRPr="00AF633F">
        <w:rPr>
          <w:rFonts w:ascii="Arial" w:hAnsi="Arial" w:cs="Arial"/>
          <w:sz w:val="24"/>
          <w:szCs w:val="24"/>
        </w:rPr>
        <w:t xml:space="preserve">The NPPF (paragraph </w:t>
      </w:r>
      <w:r w:rsidR="00742684">
        <w:rPr>
          <w:rFonts w:ascii="Arial" w:hAnsi="Arial" w:cs="Arial"/>
          <w:sz w:val="24"/>
          <w:szCs w:val="24"/>
        </w:rPr>
        <w:t>11</w:t>
      </w:r>
      <w:r w:rsidRPr="00AF633F">
        <w:rPr>
          <w:rFonts w:ascii="Arial" w:hAnsi="Arial" w:cs="Arial"/>
          <w:sz w:val="24"/>
          <w:szCs w:val="24"/>
        </w:rPr>
        <w:t>)</w:t>
      </w:r>
      <w:r w:rsidR="009E01A8">
        <w:rPr>
          <w:rFonts w:ascii="Arial" w:hAnsi="Arial" w:cs="Arial"/>
          <w:sz w:val="24"/>
          <w:szCs w:val="24"/>
        </w:rPr>
        <w:t xml:space="preserve"> requires</w:t>
      </w:r>
      <w:r w:rsidRPr="00AF633F">
        <w:rPr>
          <w:rFonts w:ascii="Arial" w:hAnsi="Arial" w:cs="Arial"/>
          <w:sz w:val="24"/>
          <w:szCs w:val="24"/>
        </w:rPr>
        <w:t xml:space="preserve"> </w:t>
      </w:r>
      <w:r w:rsidR="00742684" w:rsidRPr="009E01A8">
        <w:rPr>
          <w:rFonts w:ascii="Arial" w:hAnsi="Arial" w:cs="Arial"/>
          <w:sz w:val="24"/>
          <w:szCs w:val="24"/>
        </w:rPr>
        <w:t>strategic policies to</w:t>
      </w:r>
      <w:r w:rsidR="00742684" w:rsidRPr="001B2D60">
        <w:rPr>
          <w:rFonts w:ascii="Arial" w:hAnsi="Arial" w:cs="Arial"/>
          <w:i/>
          <w:iCs/>
          <w:sz w:val="24"/>
          <w:szCs w:val="24"/>
        </w:rPr>
        <w:t xml:space="preserve">, </w:t>
      </w:r>
      <w:r w:rsidR="009E01A8">
        <w:rPr>
          <w:rFonts w:ascii="Arial" w:hAnsi="Arial" w:cs="Arial"/>
          <w:i/>
          <w:iCs/>
          <w:sz w:val="24"/>
          <w:szCs w:val="24"/>
        </w:rPr>
        <w:t>“</w:t>
      </w:r>
      <w:r w:rsidR="00742684" w:rsidRPr="001B2D60">
        <w:rPr>
          <w:rFonts w:ascii="Arial" w:hAnsi="Arial" w:cs="Arial"/>
          <w:i/>
          <w:iCs/>
          <w:sz w:val="24"/>
          <w:szCs w:val="24"/>
        </w:rPr>
        <w:t xml:space="preserve">as a minimum, </w:t>
      </w:r>
      <w:r w:rsidRPr="001B2D60">
        <w:rPr>
          <w:rFonts w:ascii="Arial" w:hAnsi="Arial" w:cs="Arial"/>
          <w:i/>
          <w:iCs/>
          <w:sz w:val="24"/>
          <w:szCs w:val="24"/>
        </w:rPr>
        <w:t xml:space="preserve">provide </w:t>
      </w:r>
      <w:r w:rsidR="00742684" w:rsidRPr="001B2D60">
        <w:rPr>
          <w:rFonts w:ascii="Arial" w:hAnsi="Arial" w:cs="Arial"/>
          <w:i/>
          <w:iCs/>
          <w:sz w:val="24"/>
          <w:szCs w:val="24"/>
        </w:rPr>
        <w:t>for objectively assessed needs for housing and other use</w:t>
      </w:r>
      <w:r w:rsidR="009E01A8">
        <w:rPr>
          <w:rFonts w:ascii="Arial" w:hAnsi="Arial" w:cs="Arial"/>
          <w:i/>
          <w:iCs/>
          <w:sz w:val="24"/>
          <w:szCs w:val="24"/>
        </w:rPr>
        <w:t>s</w:t>
      </w:r>
      <w:r w:rsidR="00742684" w:rsidRPr="001B2D60">
        <w:rPr>
          <w:rFonts w:ascii="Arial" w:hAnsi="Arial" w:cs="Arial"/>
          <w:i/>
          <w:iCs/>
          <w:sz w:val="24"/>
          <w:szCs w:val="24"/>
        </w:rPr>
        <w:t>, as well as any needs that cannot be met within neighbouring areas, unless:</w:t>
      </w:r>
    </w:p>
    <w:p w14:paraId="258BF408" w14:textId="41A7C0CD" w:rsidR="00742684" w:rsidRPr="001B2D60" w:rsidRDefault="00742684" w:rsidP="00131F0A">
      <w:pPr>
        <w:pStyle w:val="ListParagraph"/>
        <w:numPr>
          <w:ilvl w:val="0"/>
          <w:numId w:val="20"/>
        </w:numPr>
        <w:rPr>
          <w:rFonts w:ascii="Arial" w:hAnsi="Arial" w:cs="Arial"/>
          <w:i/>
          <w:iCs/>
          <w:sz w:val="24"/>
          <w:szCs w:val="24"/>
        </w:rPr>
      </w:pPr>
      <w:r w:rsidRPr="001B2D60">
        <w:rPr>
          <w:rFonts w:ascii="Arial" w:hAnsi="Arial" w:cs="Arial"/>
          <w:i/>
          <w:iCs/>
          <w:sz w:val="24"/>
          <w:szCs w:val="24"/>
        </w:rPr>
        <w:t>the application of policies in this Framework that protect areas or assets of particular importance provides a strong reason for restricting the overall scale, type or distribution of development in the plan area; or</w:t>
      </w:r>
    </w:p>
    <w:p w14:paraId="14086C38" w14:textId="1722AE19" w:rsidR="00742684" w:rsidRPr="001B2D60" w:rsidRDefault="00742684" w:rsidP="00131F0A">
      <w:pPr>
        <w:pStyle w:val="ListParagraph"/>
        <w:numPr>
          <w:ilvl w:val="0"/>
          <w:numId w:val="20"/>
        </w:numPr>
        <w:rPr>
          <w:rFonts w:ascii="Arial" w:hAnsi="Arial" w:cs="Arial"/>
          <w:i/>
          <w:iCs/>
          <w:sz w:val="24"/>
          <w:szCs w:val="24"/>
        </w:rPr>
      </w:pPr>
      <w:r w:rsidRPr="001B2D60">
        <w:rPr>
          <w:rFonts w:ascii="Arial" w:hAnsi="Arial" w:cs="Arial"/>
          <w:i/>
          <w:iCs/>
          <w:sz w:val="24"/>
          <w:szCs w:val="24"/>
        </w:rPr>
        <w:t>any adverse impacts of doing so would significantly and demonstrably outweigh the benefits, when assessed against the policies in this Framework taken as a whole</w:t>
      </w:r>
      <w:r w:rsidR="001B2D60" w:rsidRPr="001B2D60">
        <w:rPr>
          <w:rFonts w:ascii="Arial" w:hAnsi="Arial" w:cs="Arial"/>
          <w:i/>
          <w:iCs/>
          <w:sz w:val="24"/>
          <w:szCs w:val="24"/>
        </w:rPr>
        <w:t>”</w:t>
      </w:r>
      <w:r w:rsidRPr="001B2D60">
        <w:rPr>
          <w:rFonts w:ascii="Arial" w:hAnsi="Arial" w:cs="Arial"/>
          <w:i/>
          <w:iCs/>
          <w:sz w:val="24"/>
          <w:szCs w:val="24"/>
        </w:rPr>
        <w:t xml:space="preserve">.  </w:t>
      </w:r>
    </w:p>
    <w:p w14:paraId="0CB48CE0" w14:textId="3C5B70AC" w:rsidR="00AF633F" w:rsidRPr="00AF633F" w:rsidRDefault="00715557" w:rsidP="00303776">
      <w:pPr>
        <w:ind w:left="709" w:hanging="709"/>
        <w:rPr>
          <w:rFonts w:ascii="Arial" w:hAnsi="Arial" w:cs="Arial"/>
          <w:sz w:val="24"/>
          <w:szCs w:val="24"/>
        </w:rPr>
      </w:pPr>
      <w:r>
        <w:rPr>
          <w:rFonts w:ascii="Arial" w:hAnsi="Arial" w:cs="Arial"/>
          <w:sz w:val="24"/>
          <w:szCs w:val="24"/>
        </w:rPr>
        <w:t>4.2</w:t>
      </w:r>
      <w:r>
        <w:rPr>
          <w:rFonts w:ascii="Arial" w:hAnsi="Arial" w:cs="Arial"/>
          <w:sz w:val="24"/>
          <w:szCs w:val="24"/>
        </w:rPr>
        <w:tab/>
      </w:r>
      <w:r w:rsidR="00742684">
        <w:rPr>
          <w:rFonts w:ascii="Arial" w:hAnsi="Arial" w:cs="Arial"/>
          <w:sz w:val="24"/>
          <w:szCs w:val="24"/>
        </w:rPr>
        <w:t xml:space="preserve">Planning policies should identify a sufficient supply and mix of sites, </w:t>
      </w:r>
      <w:proofErr w:type="gramStart"/>
      <w:r w:rsidR="00742684">
        <w:rPr>
          <w:rFonts w:ascii="Arial" w:hAnsi="Arial" w:cs="Arial"/>
          <w:sz w:val="24"/>
          <w:szCs w:val="24"/>
        </w:rPr>
        <w:t>taking into account</w:t>
      </w:r>
      <w:proofErr w:type="gramEnd"/>
      <w:r w:rsidR="00742684">
        <w:rPr>
          <w:rFonts w:ascii="Arial" w:hAnsi="Arial" w:cs="Arial"/>
          <w:sz w:val="24"/>
          <w:szCs w:val="24"/>
        </w:rPr>
        <w:t xml:space="preserve"> their availability, suitability and likely economic viability.  </w:t>
      </w:r>
      <w:r w:rsidR="00AF633F" w:rsidRPr="00AF633F">
        <w:rPr>
          <w:rFonts w:ascii="Arial" w:hAnsi="Arial" w:cs="Arial"/>
          <w:sz w:val="24"/>
          <w:szCs w:val="24"/>
        </w:rPr>
        <w:t>The conclusions</w:t>
      </w:r>
      <w:r w:rsidR="007A56E5">
        <w:rPr>
          <w:rFonts w:ascii="Arial" w:hAnsi="Arial" w:cs="Arial"/>
          <w:sz w:val="24"/>
          <w:szCs w:val="24"/>
        </w:rPr>
        <w:t xml:space="preserve"> </w:t>
      </w:r>
      <w:r w:rsidR="00AF633F" w:rsidRPr="00AF633F">
        <w:rPr>
          <w:rFonts w:ascii="Arial" w:hAnsi="Arial" w:cs="Arial"/>
          <w:sz w:val="24"/>
          <w:szCs w:val="24"/>
        </w:rPr>
        <w:t>of the most recent Strategic Housing Land Availability Assessment (SHLAA) for each authority (Ashfield, Broxtowe, Gedling</w:t>
      </w:r>
      <w:r w:rsidR="00742684">
        <w:rPr>
          <w:rFonts w:ascii="Arial" w:hAnsi="Arial" w:cs="Arial"/>
          <w:sz w:val="24"/>
          <w:szCs w:val="24"/>
        </w:rPr>
        <w:t>,</w:t>
      </w:r>
      <w:r w:rsidR="00AF633F" w:rsidRPr="00AF633F">
        <w:rPr>
          <w:rFonts w:ascii="Arial" w:hAnsi="Arial" w:cs="Arial"/>
          <w:sz w:val="24"/>
          <w:szCs w:val="24"/>
        </w:rPr>
        <w:t xml:space="preserve"> </w:t>
      </w:r>
      <w:r w:rsidR="00AF633F" w:rsidRPr="00AF633F">
        <w:rPr>
          <w:rFonts w:ascii="Arial" w:hAnsi="Arial" w:cs="Arial"/>
          <w:sz w:val="24"/>
          <w:szCs w:val="24"/>
        </w:rPr>
        <w:lastRenderedPageBreak/>
        <w:t>Nottingham City</w:t>
      </w:r>
      <w:r w:rsidR="00742684">
        <w:rPr>
          <w:rFonts w:ascii="Arial" w:hAnsi="Arial" w:cs="Arial"/>
          <w:sz w:val="24"/>
          <w:szCs w:val="24"/>
        </w:rPr>
        <w:t xml:space="preserve"> and Rushcliffe</w:t>
      </w:r>
      <w:r w:rsidR="00AF633F" w:rsidRPr="00AF633F">
        <w:rPr>
          <w:rFonts w:ascii="Arial" w:hAnsi="Arial" w:cs="Arial"/>
          <w:sz w:val="24"/>
          <w:szCs w:val="24"/>
        </w:rPr>
        <w:t>) have found that there is insufficient land available within the exi</w:t>
      </w:r>
      <w:r w:rsidR="007A5A96">
        <w:rPr>
          <w:rFonts w:ascii="Arial" w:hAnsi="Arial" w:cs="Arial"/>
          <w:sz w:val="24"/>
          <w:szCs w:val="24"/>
        </w:rPr>
        <w:t>s</w:t>
      </w:r>
      <w:r w:rsidR="00AF633F" w:rsidRPr="00AF633F">
        <w:rPr>
          <w:rFonts w:ascii="Arial" w:hAnsi="Arial" w:cs="Arial"/>
          <w:sz w:val="24"/>
          <w:szCs w:val="24"/>
        </w:rPr>
        <w:t>ting built-up area to</w:t>
      </w:r>
      <w:r w:rsidR="007A56E5">
        <w:rPr>
          <w:rFonts w:ascii="Arial" w:hAnsi="Arial" w:cs="Arial"/>
          <w:sz w:val="24"/>
          <w:szCs w:val="24"/>
        </w:rPr>
        <w:t xml:space="preserve"> </w:t>
      </w:r>
      <w:r w:rsidR="00AF633F" w:rsidRPr="00AF633F">
        <w:rPr>
          <w:rFonts w:ascii="Arial" w:hAnsi="Arial" w:cs="Arial"/>
          <w:sz w:val="24"/>
          <w:szCs w:val="24"/>
        </w:rPr>
        <w:t>meet the objectively assessed need for housing. The Councils have therefore been duty bound to look beyond existing settlement boundaries to</w:t>
      </w:r>
      <w:r w:rsidR="007A56E5">
        <w:rPr>
          <w:rFonts w:ascii="Arial" w:hAnsi="Arial" w:cs="Arial"/>
          <w:sz w:val="24"/>
          <w:szCs w:val="24"/>
        </w:rPr>
        <w:t xml:space="preserve"> </w:t>
      </w:r>
      <w:r w:rsidR="00AF633F" w:rsidRPr="00AF633F">
        <w:rPr>
          <w:rFonts w:ascii="Arial" w:hAnsi="Arial" w:cs="Arial"/>
          <w:sz w:val="24"/>
          <w:szCs w:val="24"/>
        </w:rPr>
        <w:t xml:space="preserve">accommodate future housing needs. </w:t>
      </w:r>
    </w:p>
    <w:p w14:paraId="199A2A68" w14:textId="3D536A14" w:rsidR="007A56E5" w:rsidRDefault="00AF633F" w:rsidP="007A56E5">
      <w:pPr>
        <w:ind w:left="709" w:hanging="709"/>
        <w:rPr>
          <w:rFonts w:ascii="Arial" w:hAnsi="Arial" w:cs="Arial"/>
          <w:sz w:val="24"/>
          <w:szCs w:val="24"/>
        </w:rPr>
      </w:pPr>
      <w:r w:rsidRPr="00AF633F">
        <w:rPr>
          <w:rFonts w:ascii="Arial" w:hAnsi="Arial" w:cs="Arial"/>
          <w:sz w:val="24"/>
          <w:szCs w:val="24"/>
        </w:rPr>
        <w:t>4.</w:t>
      </w:r>
      <w:r w:rsidR="00715557">
        <w:rPr>
          <w:rFonts w:ascii="Arial" w:hAnsi="Arial" w:cs="Arial"/>
          <w:sz w:val="24"/>
          <w:szCs w:val="24"/>
        </w:rPr>
        <w:t>3</w:t>
      </w: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 xml:space="preserve">The </w:t>
      </w:r>
      <w:r w:rsidR="0086767F">
        <w:rPr>
          <w:rFonts w:ascii="Arial" w:hAnsi="Arial" w:cs="Arial"/>
          <w:sz w:val="24"/>
          <w:szCs w:val="24"/>
        </w:rPr>
        <w:t>Planning and Compulsory Purchase Act 2024</w:t>
      </w:r>
      <w:r w:rsidRPr="00AF633F">
        <w:rPr>
          <w:rFonts w:ascii="Arial" w:hAnsi="Arial" w:cs="Arial"/>
          <w:sz w:val="24"/>
          <w:szCs w:val="24"/>
        </w:rPr>
        <w:t xml:space="preserve"> a mandatory requirement </w:t>
      </w:r>
      <w:r w:rsidR="0086767F">
        <w:rPr>
          <w:rFonts w:ascii="Arial" w:hAnsi="Arial" w:cs="Arial"/>
          <w:sz w:val="24"/>
          <w:szCs w:val="24"/>
        </w:rPr>
        <w:t>for district wide local plans.  The</w:t>
      </w:r>
      <w:r w:rsidRPr="00AF633F">
        <w:rPr>
          <w:rFonts w:ascii="Arial" w:hAnsi="Arial" w:cs="Arial"/>
          <w:sz w:val="24"/>
          <w:szCs w:val="24"/>
        </w:rPr>
        <w:t xml:space="preserve"> NPPF paragraph </w:t>
      </w:r>
      <w:r w:rsidR="00742684">
        <w:rPr>
          <w:rFonts w:ascii="Arial" w:hAnsi="Arial" w:cs="Arial"/>
          <w:sz w:val="24"/>
          <w:szCs w:val="24"/>
        </w:rPr>
        <w:t>145</w:t>
      </w:r>
      <w:r w:rsidRPr="00AF633F">
        <w:rPr>
          <w:rFonts w:ascii="Arial" w:hAnsi="Arial" w:cs="Arial"/>
          <w:sz w:val="24"/>
          <w:szCs w:val="24"/>
        </w:rPr>
        <w:t xml:space="preserve"> sets out that the appropriateness of existing Green Belt boundaries should only be considered when a Local Plan is being prepared or reviewed (see paragraph 3.3 above). </w:t>
      </w:r>
    </w:p>
    <w:p w14:paraId="2AE2C0EF" w14:textId="4FCE4405" w:rsidR="00E604E2" w:rsidRPr="00AF633F" w:rsidRDefault="00E604E2" w:rsidP="00E604E2">
      <w:pPr>
        <w:ind w:left="709" w:hanging="709"/>
        <w:rPr>
          <w:rFonts w:ascii="Arial" w:hAnsi="Arial" w:cs="Arial"/>
          <w:sz w:val="24"/>
          <w:szCs w:val="24"/>
        </w:rPr>
      </w:pPr>
      <w:r>
        <w:rPr>
          <w:rFonts w:ascii="Arial" w:hAnsi="Arial" w:cs="Arial"/>
          <w:sz w:val="24"/>
          <w:szCs w:val="24"/>
        </w:rPr>
        <w:t>4.</w:t>
      </w:r>
      <w:r w:rsidR="00715557">
        <w:rPr>
          <w:rFonts w:ascii="Arial" w:hAnsi="Arial" w:cs="Arial"/>
          <w:sz w:val="24"/>
          <w:szCs w:val="24"/>
        </w:rPr>
        <w:t>4</w:t>
      </w:r>
      <w:r w:rsidRPr="00AF633F">
        <w:rPr>
          <w:rFonts w:ascii="Arial" w:hAnsi="Arial" w:cs="Arial"/>
          <w:sz w:val="24"/>
          <w:szCs w:val="24"/>
        </w:rPr>
        <w:t xml:space="preserve"> </w:t>
      </w:r>
      <w:r>
        <w:rPr>
          <w:rFonts w:ascii="Arial" w:hAnsi="Arial" w:cs="Arial"/>
          <w:sz w:val="24"/>
          <w:szCs w:val="24"/>
        </w:rPr>
        <w:tab/>
      </w:r>
      <w:r w:rsidRPr="00AF633F">
        <w:rPr>
          <w:rFonts w:ascii="Arial" w:hAnsi="Arial" w:cs="Arial"/>
          <w:sz w:val="24"/>
          <w:szCs w:val="24"/>
        </w:rPr>
        <w:t xml:space="preserve">Paragraph </w:t>
      </w:r>
      <w:r>
        <w:rPr>
          <w:rFonts w:ascii="Arial" w:hAnsi="Arial" w:cs="Arial"/>
          <w:sz w:val="24"/>
          <w:szCs w:val="24"/>
        </w:rPr>
        <w:t>148</w:t>
      </w:r>
      <w:r w:rsidRPr="00AF633F">
        <w:rPr>
          <w:rFonts w:ascii="Arial" w:hAnsi="Arial" w:cs="Arial"/>
          <w:sz w:val="24"/>
          <w:szCs w:val="24"/>
        </w:rPr>
        <w:t xml:space="preserve"> of the NPPF states that: </w:t>
      </w:r>
    </w:p>
    <w:p w14:paraId="58106591" w14:textId="1DE71F74" w:rsidR="00E604E2" w:rsidRPr="00AF633F" w:rsidRDefault="00E604E2" w:rsidP="00E604E2">
      <w:pPr>
        <w:ind w:left="709"/>
        <w:rPr>
          <w:rFonts w:ascii="Arial" w:hAnsi="Arial" w:cs="Arial"/>
          <w:sz w:val="24"/>
          <w:szCs w:val="24"/>
        </w:rPr>
      </w:pPr>
      <w:r w:rsidRPr="00AF633F">
        <w:rPr>
          <w:rFonts w:ascii="Arial" w:hAnsi="Arial" w:cs="Arial"/>
          <w:sz w:val="24"/>
          <w:szCs w:val="24"/>
        </w:rPr>
        <w:t>“</w:t>
      </w:r>
      <w:r>
        <w:rPr>
          <w:rFonts w:ascii="Arial" w:hAnsi="Arial" w:cs="Arial"/>
          <w:sz w:val="24"/>
          <w:szCs w:val="24"/>
        </w:rPr>
        <w:t xml:space="preserve">Where </w:t>
      </w:r>
      <w:r w:rsidR="009E01A8">
        <w:rPr>
          <w:rFonts w:ascii="Arial" w:hAnsi="Arial" w:cs="Arial"/>
          <w:sz w:val="24"/>
          <w:szCs w:val="24"/>
        </w:rPr>
        <w:t xml:space="preserve">it is </w:t>
      </w:r>
      <w:r>
        <w:rPr>
          <w:rFonts w:ascii="Arial" w:hAnsi="Arial" w:cs="Arial"/>
          <w:sz w:val="24"/>
          <w:szCs w:val="24"/>
        </w:rPr>
        <w:t xml:space="preserve">necessary to release Green Belt land for development, plans should give priority to previously developed land, then consider grey </w:t>
      </w:r>
      <w:proofErr w:type="gramStart"/>
      <w:r>
        <w:rPr>
          <w:rFonts w:ascii="Arial" w:hAnsi="Arial" w:cs="Arial"/>
          <w:sz w:val="24"/>
          <w:szCs w:val="24"/>
        </w:rPr>
        <w:t>belt</w:t>
      </w:r>
      <w:proofErr w:type="gramEnd"/>
      <w:r>
        <w:rPr>
          <w:rFonts w:ascii="Arial" w:hAnsi="Arial" w:cs="Arial"/>
          <w:sz w:val="24"/>
          <w:szCs w:val="24"/>
        </w:rPr>
        <w:t xml:space="preserve"> which is not previously developed, and then other Green Belt locations.  However, w</w:t>
      </w:r>
      <w:r w:rsidRPr="00AF633F">
        <w:rPr>
          <w:rFonts w:ascii="Arial" w:hAnsi="Arial" w:cs="Arial"/>
          <w:sz w:val="24"/>
          <w:szCs w:val="24"/>
        </w:rPr>
        <w:t>hen drawing up or reviewing Green Belt boundaries</w:t>
      </w:r>
      <w:r>
        <w:rPr>
          <w:rFonts w:ascii="Arial" w:hAnsi="Arial" w:cs="Arial"/>
          <w:sz w:val="24"/>
          <w:szCs w:val="24"/>
        </w:rPr>
        <w:t>,</w:t>
      </w:r>
      <w:r w:rsidRPr="00AF633F">
        <w:rPr>
          <w:rFonts w:ascii="Arial" w:hAnsi="Arial" w:cs="Arial"/>
          <w:sz w:val="24"/>
          <w:szCs w:val="24"/>
        </w:rPr>
        <w:t xml:space="preserve"> the need to promote sustainable patterns of development</w:t>
      </w:r>
      <w:r>
        <w:rPr>
          <w:rFonts w:ascii="Arial" w:hAnsi="Arial" w:cs="Arial"/>
          <w:sz w:val="24"/>
          <w:szCs w:val="24"/>
        </w:rPr>
        <w:t xml:space="preserve"> should determine whether a site’s location is appropriate with </w:t>
      </w:r>
      <w:proofErr w:type="gramStart"/>
      <w:r>
        <w:rPr>
          <w:rFonts w:ascii="Arial" w:hAnsi="Arial" w:cs="Arial"/>
          <w:sz w:val="24"/>
          <w:szCs w:val="24"/>
        </w:rPr>
        <w:t>particular reference</w:t>
      </w:r>
      <w:proofErr w:type="gramEnd"/>
      <w:r>
        <w:rPr>
          <w:rFonts w:ascii="Arial" w:hAnsi="Arial" w:cs="Arial"/>
          <w:sz w:val="24"/>
          <w:szCs w:val="24"/>
        </w:rPr>
        <w:t xml:space="preserve"> to paragraphs 110 and 115 of this Framework</w:t>
      </w:r>
      <w:r w:rsidR="00131F0A">
        <w:rPr>
          <w:rFonts w:ascii="Arial" w:hAnsi="Arial" w:cs="Arial"/>
          <w:sz w:val="24"/>
          <w:szCs w:val="24"/>
        </w:rPr>
        <w:t xml:space="preserve"> [NPPF]</w:t>
      </w:r>
      <w:r w:rsidRPr="00AF633F">
        <w:rPr>
          <w:rFonts w:ascii="Arial" w:hAnsi="Arial" w:cs="Arial"/>
          <w:sz w:val="24"/>
          <w:szCs w:val="24"/>
        </w:rPr>
        <w:t>.</w:t>
      </w:r>
      <w:r>
        <w:rPr>
          <w:rFonts w:ascii="Arial" w:hAnsi="Arial" w:cs="Arial"/>
          <w:sz w:val="24"/>
          <w:szCs w:val="24"/>
        </w:rPr>
        <w:t xml:space="preserve">  Strategic policy-making authorities</w:t>
      </w:r>
      <w:r w:rsidRPr="00AF633F">
        <w:rPr>
          <w:rFonts w:ascii="Arial" w:hAnsi="Arial" w:cs="Arial"/>
          <w:sz w:val="24"/>
          <w:szCs w:val="24"/>
        </w:rPr>
        <w:t xml:space="preserve"> should consider the consequences for sustainable development </w:t>
      </w:r>
      <w:r>
        <w:rPr>
          <w:rFonts w:ascii="Arial" w:hAnsi="Arial" w:cs="Arial"/>
          <w:sz w:val="24"/>
          <w:szCs w:val="24"/>
        </w:rPr>
        <w:t>of channelling development</w:t>
      </w:r>
      <w:r w:rsidRPr="00AF633F">
        <w:rPr>
          <w:rFonts w:ascii="Arial" w:hAnsi="Arial" w:cs="Arial"/>
          <w:sz w:val="24"/>
          <w:szCs w:val="24"/>
        </w:rPr>
        <w:t xml:space="preserve"> towards urban areas inside the Green Belt boundary, towards towns and villages inset within the Green Belt or towards locations beyond the outer Green Belt boundary.”</w:t>
      </w:r>
    </w:p>
    <w:p w14:paraId="0C94E9CD" w14:textId="371451C7" w:rsidR="00E604E2" w:rsidRDefault="00E604E2" w:rsidP="00E604E2">
      <w:pPr>
        <w:ind w:left="709" w:hanging="709"/>
        <w:rPr>
          <w:rFonts w:ascii="Arial" w:hAnsi="Arial" w:cs="Arial"/>
          <w:sz w:val="24"/>
          <w:szCs w:val="24"/>
        </w:rPr>
      </w:pPr>
      <w:r>
        <w:rPr>
          <w:rFonts w:ascii="Arial" w:hAnsi="Arial" w:cs="Arial"/>
          <w:sz w:val="24"/>
          <w:szCs w:val="24"/>
        </w:rPr>
        <w:t>4.</w:t>
      </w:r>
      <w:r w:rsidR="00715557">
        <w:rPr>
          <w:rFonts w:ascii="Arial" w:hAnsi="Arial" w:cs="Arial"/>
          <w:sz w:val="24"/>
          <w:szCs w:val="24"/>
        </w:rPr>
        <w:t>5</w:t>
      </w:r>
      <w:r w:rsidRPr="00AF633F">
        <w:rPr>
          <w:rFonts w:ascii="Arial" w:hAnsi="Arial" w:cs="Arial"/>
          <w:sz w:val="24"/>
          <w:szCs w:val="24"/>
        </w:rPr>
        <w:t xml:space="preserve"> </w:t>
      </w:r>
      <w:r>
        <w:rPr>
          <w:rFonts w:ascii="Arial" w:hAnsi="Arial" w:cs="Arial"/>
          <w:sz w:val="24"/>
          <w:szCs w:val="24"/>
        </w:rPr>
        <w:tab/>
        <w:t>For the purposes of plan-making and decision-making, ‘grey belt’ is defined as land in the Green Belt comprising previously developed land and/or any other land that, in either case, does not strongly contribute to any of purposes (a), (b) or (d) in paragraph 143.  ‘Grey belt’ excludes land where the application of the policies relating to the areas or assets in footnote 7 (other than Green Belt) would provide a strong reason for refusing or restricting development.  Footnote 7 states that the</w:t>
      </w:r>
      <w:r w:rsidRPr="00E604E2">
        <w:rPr>
          <w:rFonts w:ascii="Arial" w:hAnsi="Arial" w:cs="Arial"/>
          <w:sz w:val="24"/>
          <w:szCs w:val="24"/>
        </w:rPr>
        <w:t xml:space="preserve"> policies referred to are those in this Framework (rather than those in development plans) relating to: habitats sites (and those sites listed in paragraph 194) and/or designated as Sites of Special Scientific Interest; land designated as Green Belt, Local Green Space, a National Landscape, a National Park (or within the Broads Authority) or defined as Heritage Coast; irreplaceable habitats; designated heritage assets (and other heritage assets of archaeological interest referred to in footnote 75); and areas at risk of flooding or coastal change.</w:t>
      </w:r>
    </w:p>
    <w:p w14:paraId="0C623E40" w14:textId="0C7ADEFA" w:rsidR="00AF633F" w:rsidRDefault="00AF633F" w:rsidP="007A56E5">
      <w:pPr>
        <w:ind w:left="709" w:hanging="709"/>
        <w:rPr>
          <w:rFonts w:ascii="Arial" w:hAnsi="Arial" w:cs="Arial"/>
          <w:sz w:val="24"/>
          <w:szCs w:val="24"/>
        </w:rPr>
      </w:pPr>
      <w:r w:rsidRPr="00AF633F">
        <w:rPr>
          <w:rFonts w:ascii="Arial" w:hAnsi="Arial" w:cs="Arial"/>
          <w:sz w:val="24"/>
          <w:szCs w:val="24"/>
        </w:rPr>
        <w:t>4.</w:t>
      </w:r>
      <w:r w:rsidR="00715557">
        <w:rPr>
          <w:rFonts w:ascii="Arial" w:hAnsi="Arial" w:cs="Arial"/>
          <w:sz w:val="24"/>
          <w:szCs w:val="24"/>
        </w:rPr>
        <w:t>6</w:t>
      </w:r>
      <w:r w:rsidRPr="00AF633F">
        <w:rPr>
          <w:rFonts w:ascii="Arial" w:hAnsi="Arial" w:cs="Arial"/>
          <w:sz w:val="24"/>
          <w:szCs w:val="24"/>
        </w:rPr>
        <w:t xml:space="preserve"> </w:t>
      </w:r>
      <w:r w:rsidR="007A56E5">
        <w:rPr>
          <w:rFonts w:ascii="Arial" w:hAnsi="Arial" w:cs="Arial"/>
          <w:sz w:val="24"/>
          <w:szCs w:val="24"/>
        </w:rPr>
        <w:tab/>
      </w:r>
      <w:r w:rsidRPr="00AF633F">
        <w:rPr>
          <w:rFonts w:ascii="Arial" w:hAnsi="Arial" w:cs="Arial"/>
          <w:sz w:val="24"/>
          <w:szCs w:val="24"/>
        </w:rPr>
        <w:t xml:space="preserve">A Green Belt review does not itself determine </w:t>
      </w:r>
      <w:proofErr w:type="gramStart"/>
      <w:r w:rsidRPr="00AF633F">
        <w:rPr>
          <w:rFonts w:ascii="Arial" w:hAnsi="Arial" w:cs="Arial"/>
          <w:sz w:val="24"/>
          <w:szCs w:val="24"/>
        </w:rPr>
        <w:t>whether or not</w:t>
      </w:r>
      <w:proofErr w:type="gramEnd"/>
      <w:r w:rsidRPr="00AF633F">
        <w:rPr>
          <w:rFonts w:ascii="Arial" w:hAnsi="Arial" w:cs="Arial"/>
          <w:sz w:val="24"/>
          <w:szCs w:val="24"/>
        </w:rPr>
        <w:t xml:space="preserve"> land remains or</w:t>
      </w:r>
      <w:r w:rsidR="007A56E5">
        <w:rPr>
          <w:rFonts w:ascii="Arial" w:hAnsi="Arial" w:cs="Arial"/>
          <w:sz w:val="24"/>
          <w:szCs w:val="24"/>
        </w:rPr>
        <w:t xml:space="preserve"> </w:t>
      </w:r>
      <w:r w:rsidRPr="00AF633F">
        <w:rPr>
          <w:rFonts w:ascii="Arial" w:hAnsi="Arial" w:cs="Arial"/>
          <w:sz w:val="24"/>
          <w:szCs w:val="24"/>
        </w:rPr>
        <w:t xml:space="preserve">is included in the Green Belt. It is the role of the </w:t>
      </w:r>
      <w:r w:rsidR="0078666D">
        <w:rPr>
          <w:rFonts w:ascii="Arial" w:hAnsi="Arial" w:cs="Arial"/>
          <w:sz w:val="24"/>
          <w:szCs w:val="24"/>
        </w:rPr>
        <w:t>C</w:t>
      </w:r>
      <w:r w:rsidRPr="00AF633F">
        <w:rPr>
          <w:rFonts w:ascii="Arial" w:hAnsi="Arial" w:cs="Arial"/>
          <w:sz w:val="24"/>
          <w:szCs w:val="24"/>
        </w:rPr>
        <w:t xml:space="preserve">ouncil’s emerging Local Plan to formally revise Green Belt boundaries and to allocate land for development, having </w:t>
      </w:r>
      <w:proofErr w:type="gramStart"/>
      <w:r w:rsidRPr="00AF633F">
        <w:rPr>
          <w:rFonts w:ascii="Arial" w:hAnsi="Arial" w:cs="Arial"/>
          <w:sz w:val="24"/>
          <w:szCs w:val="24"/>
        </w:rPr>
        <w:t>taken into account</w:t>
      </w:r>
      <w:proofErr w:type="gramEnd"/>
      <w:r w:rsidRPr="00AF633F">
        <w:rPr>
          <w:rFonts w:ascii="Arial" w:hAnsi="Arial" w:cs="Arial"/>
          <w:sz w:val="24"/>
          <w:szCs w:val="24"/>
        </w:rPr>
        <w:t xml:space="preserve"> all relevant planning considerations. This includes whether there are, in the first instance, exceptional circumstances for altering existing boundaries. It is not the role of any review </w:t>
      </w:r>
      <w:r w:rsidRPr="00AF633F">
        <w:rPr>
          <w:rFonts w:ascii="Arial" w:hAnsi="Arial" w:cs="Arial"/>
          <w:sz w:val="24"/>
          <w:szCs w:val="24"/>
        </w:rPr>
        <w:lastRenderedPageBreak/>
        <w:t xml:space="preserve">to establish </w:t>
      </w:r>
      <w:proofErr w:type="gramStart"/>
      <w:r w:rsidRPr="00AF633F">
        <w:rPr>
          <w:rFonts w:ascii="Arial" w:hAnsi="Arial" w:cs="Arial"/>
          <w:sz w:val="24"/>
          <w:szCs w:val="24"/>
        </w:rPr>
        <w:t>whether or not</w:t>
      </w:r>
      <w:proofErr w:type="gramEnd"/>
      <w:r w:rsidRPr="00AF633F">
        <w:rPr>
          <w:rFonts w:ascii="Arial" w:hAnsi="Arial" w:cs="Arial"/>
          <w:sz w:val="24"/>
          <w:szCs w:val="24"/>
        </w:rPr>
        <w:t xml:space="preserve"> such exceptional circumstances exist, but as there is a need to alter Green</w:t>
      </w:r>
      <w:r w:rsidR="007A56E5">
        <w:rPr>
          <w:rFonts w:ascii="Arial" w:hAnsi="Arial" w:cs="Arial"/>
          <w:sz w:val="24"/>
          <w:szCs w:val="24"/>
        </w:rPr>
        <w:t xml:space="preserve"> </w:t>
      </w:r>
      <w:r w:rsidRPr="00AF633F">
        <w:rPr>
          <w:rFonts w:ascii="Arial" w:hAnsi="Arial" w:cs="Arial"/>
          <w:sz w:val="24"/>
          <w:szCs w:val="24"/>
        </w:rPr>
        <w:t>Belt boundaries, the review is intended to inform how this might best be done. A review is therefore a technical document that is used to aid decisions on where the Green Belt may be amended to accommodate future development requirements.</w:t>
      </w:r>
    </w:p>
    <w:p w14:paraId="6E16FD6C" w14:textId="292A7754" w:rsidR="00E604E2" w:rsidRPr="00E604E2" w:rsidRDefault="00E604E2" w:rsidP="00E604E2">
      <w:pPr>
        <w:pStyle w:val="NormalWeb"/>
        <w:shd w:val="clear" w:color="auto" w:fill="FFFFFF"/>
        <w:spacing w:before="0" w:beforeAutospacing="0" w:after="150" w:afterAutospacing="0"/>
        <w:rPr>
          <w:rFonts w:ascii="Arial" w:hAnsi="Arial" w:cs="Arial"/>
          <w:color w:val="0B0C0C"/>
        </w:rPr>
      </w:pPr>
      <w:r>
        <w:rPr>
          <w:rFonts w:ascii="Arial" w:hAnsi="Arial" w:cs="Arial"/>
        </w:rPr>
        <w:t>4.</w:t>
      </w:r>
      <w:r w:rsidR="00715557">
        <w:rPr>
          <w:rFonts w:ascii="Arial" w:hAnsi="Arial" w:cs="Arial"/>
        </w:rPr>
        <w:t>7</w:t>
      </w:r>
      <w:r>
        <w:rPr>
          <w:rFonts w:ascii="Arial" w:hAnsi="Arial" w:cs="Arial"/>
        </w:rPr>
        <w:tab/>
        <w:t xml:space="preserve">Planning practice guidance updated in February 2025 </w:t>
      </w:r>
      <w:r w:rsidR="0064215C">
        <w:rPr>
          <w:rFonts w:ascii="Arial" w:hAnsi="Arial" w:cs="Arial"/>
        </w:rPr>
        <w:t xml:space="preserve">sets </w:t>
      </w:r>
      <w:proofErr w:type="gramStart"/>
      <w:r w:rsidR="0064215C">
        <w:rPr>
          <w:rFonts w:ascii="Arial" w:hAnsi="Arial" w:cs="Arial"/>
        </w:rPr>
        <w:t>out</w:t>
      </w:r>
      <w:r>
        <w:rPr>
          <w:rFonts w:ascii="Arial" w:hAnsi="Arial" w:cs="Arial"/>
        </w:rPr>
        <w:t>:-</w:t>
      </w:r>
      <w:proofErr w:type="gramEnd"/>
    </w:p>
    <w:p w14:paraId="1F2E43FF" w14:textId="1C4F61B8" w:rsidR="00E604E2" w:rsidRDefault="00E604E2" w:rsidP="00FE1D98">
      <w:pPr>
        <w:pStyle w:val="NormalWeb"/>
        <w:numPr>
          <w:ilvl w:val="0"/>
          <w:numId w:val="7"/>
        </w:numPr>
        <w:shd w:val="clear" w:color="auto" w:fill="FFFFFF"/>
        <w:spacing w:before="0" w:beforeAutospacing="0" w:after="150" w:afterAutospacing="0"/>
        <w:ind w:left="1134" w:hanging="425"/>
        <w:rPr>
          <w:rFonts w:ascii="Arial" w:hAnsi="Arial" w:cs="Arial"/>
          <w:color w:val="0B0C0C"/>
        </w:rPr>
      </w:pPr>
      <w:r>
        <w:rPr>
          <w:rFonts w:ascii="Arial" w:hAnsi="Arial" w:cs="Arial"/>
          <w:color w:val="0B0C0C"/>
        </w:rPr>
        <w:t>the considerations involved in assessing the contribution Green Belt land makes to Green Belt purposes, where relevant to identifying grey belt land</w:t>
      </w:r>
    </w:p>
    <w:p w14:paraId="4CF33E90" w14:textId="2C648100" w:rsidR="00E604E2" w:rsidRDefault="00E604E2" w:rsidP="00FE1D98">
      <w:pPr>
        <w:pStyle w:val="NormalWeb"/>
        <w:numPr>
          <w:ilvl w:val="0"/>
          <w:numId w:val="7"/>
        </w:numPr>
        <w:shd w:val="clear" w:color="auto" w:fill="FFFFFF"/>
        <w:spacing w:before="0" w:beforeAutospacing="0" w:after="150" w:afterAutospacing="0"/>
        <w:ind w:left="1134" w:hanging="425"/>
        <w:rPr>
          <w:rFonts w:ascii="Arial" w:hAnsi="Arial" w:cs="Arial"/>
          <w:color w:val="0B0C0C"/>
        </w:rPr>
      </w:pPr>
      <w:r>
        <w:rPr>
          <w:rFonts w:ascii="Arial" w:hAnsi="Arial" w:cs="Arial"/>
          <w:color w:val="0B0C0C"/>
        </w:rPr>
        <w:t>the considerations involved in determining whether release or development of Green Belt land would fundamentally undermine the remaining Green Belt in the plan area</w:t>
      </w:r>
    </w:p>
    <w:p w14:paraId="2AB40B9B" w14:textId="77777777" w:rsidR="00E604E2" w:rsidRDefault="00E604E2" w:rsidP="00FE1D98">
      <w:pPr>
        <w:pStyle w:val="NormalWeb"/>
        <w:numPr>
          <w:ilvl w:val="0"/>
          <w:numId w:val="7"/>
        </w:numPr>
        <w:shd w:val="clear" w:color="auto" w:fill="FFFFFF"/>
        <w:spacing w:before="0" w:beforeAutospacing="0" w:after="150" w:afterAutospacing="0"/>
        <w:ind w:left="1134" w:hanging="425"/>
        <w:rPr>
          <w:rFonts w:ascii="Arial" w:hAnsi="Arial" w:cs="Arial"/>
          <w:color w:val="0B0C0C"/>
        </w:rPr>
      </w:pPr>
      <w:r>
        <w:rPr>
          <w:rFonts w:ascii="Arial" w:hAnsi="Arial" w:cs="Arial"/>
          <w:color w:val="0B0C0C"/>
        </w:rPr>
        <w:t>guidance for considering proposals on potential grey belt land</w:t>
      </w:r>
    </w:p>
    <w:p w14:paraId="582E055C" w14:textId="77777777" w:rsidR="00E604E2" w:rsidRDefault="00E604E2" w:rsidP="00FE1D98">
      <w:pPr>
        <w:pStyle w:val="NormalWeb"/>
        <w:numPr>
          <w:ilvl w:val="0"/>
          <w:numId w:val="7"/>
        </w:numPr>
        <w:shd w:val="clear" w:color="auto" w:fill="FFFFFF"/>
        <w:spacing w:before="0" w:beforeAutospacing="0" w:after="150" w:afterAutospacing="0"/>
        <w:ind w:left="1134" w:hanging="425"/>
        <w:rPr>
          <w:rFonts w:ascii="Arial" w:hAnsi="Arial" w:cs="Arial"/>
          <w:color w:val="0B0C0C"/>
        </w:rPr>
      </w:pPr>
      <w:r>
        <w:rPr>
          <w:rFonts w:ascii="Arial" w:hAnsi="Arial" w:cs="Arial"/>
          <w:color w:val="0B0C0C"/>
        </w:rPr>
        <w:t>guidance on identifying sustainable locations when considering the release or development of Green Belt land</w:t>
      </w:r>
    </w:p>
    <w:p w14:paraId="78908245" w14:textId="77777777" w:rsidR="00E604E2" w:rsidRDefault="00E604E2" w:rsidP="00FE1D98">
      <w:pPr>
        <w:pStyle w:val="NormalWeb"/>
        <w:numPr>
          <w:ilvl w:val="0"/>
          <w:numId w:val="7"/>
        </w:numPr>
        <w:shd w:val="clear" w:color="auto" w:fill="FFFFFF"/>
        <w:spacing w:before="0" w:beforeAutospacing="0" w:after="150" w:afterAutospacing="0"/>
        <w:ind w:left="1134" w:hanging="425"/>
        <w:rPr>
          <w:rFonts w:ascii="Arial" w:hAnsi="Arial" w:cs="Arial"/>
          <w:color w:val="0B0C0C"/>
        </w:rPr>
      </w:pPr>
      <w:r>
        <w:rPr>
          <w:rFonts w:ascii="Arial" w:hAnsi="Arial" w:cs="Arial"/>
          <w:color w:val="0B0C0C"/>
        </w:rPr>
        <w:t>updated guidance on how major housing development on land which is released from the Green Belt through plan making, or on sites in the Green Belt, should contribute to accessible green space</w:t>
      </w:r>
    </w:p>
    <w:p w14:paraId="5AE287D4" w14:textId="77777777" w:rsidR="00E604E2" w:rsidRDefault="00E604E2" w:rsidP="00FE1D98">
      <w:pPr>
        <w:pStyle w:val="NormalWeb"/>
        <w:numPr>
          <w:ilvl w:val="0"/>
          <w:numId w:val="7"/>
        </w:numPr>
        <w:shd w:val="clear" w:color="auto" w:fill="FFFFFF"/>
        <w:spacing w:before="0" w:beforeAutospacing="0" w:after="150" w:afterAutospacing="0"/>
        <w:ind w:left="1134" w:hanging="425"/>
        <w:rPr>
          <w:rFonts w:ascii="Arial" w:hAnsi="Arial" w:cs="Arial"/>
          <w:color w:val="0B0C0C"/>
        </w:rPr>
      </w:pPr>
      <w:r>
        <w:rPr>
          <w:rFonts w:ascii="Arial" w:hAnsi="Arial" w:cs="Arial"/>
          <w:color w:val="0B0C0C"/>
        </w:rPr>
        <w:t>updated guidance on how to consider the potential impact of development on the openness of the Green Belt</w:t>
      </w:r>
    </w:p>
    <w:p w14:paraId="64AEAD2D" w14:textId="5D1B3B08" w:rsidR="007A56E5" w:rsidRDefault="00E604E2" w:rsidP="007A56E5">
      <w:pPr>
        <w:ind w:left="709" w:hanging="709"/>
        <w:rPr>
          <w:rFonts w:ascii="Arial" w:hAnsi="Arial" w:cs="Arial"/>
          <w:sz w:val="24"/>
          <w:szCs w:val="24"/>
        </w:rPr>
      </w:pPr>
      <w:r>
        <w:rPr>
          <w:rFonts w:ascii="Arial" w:hAnsi="Arial" w:cs="Arial"/>
          <w:sz w:val="24"/>
          <w:szCs w:val="24"/>
        </w:rPr>
        <w:t>4.</w:t>
      </w:r>
      <w:r w:rsidR="00715557">
        <w:rPr>
          <w:rFonts w:ascii="Arial" w:hAnsi="Arial" w:cs="Arial"/>
          <w:sz w:val="24"/>
          <w:szCs w:val="24"/>
        </w:rPr>
        <w:t>8</w:t>
      </w:r>
      <w:r>
        <w:rPr>
          <w:rFonts w:ascii="Arial" w:hAnsi="Arial" w:cs="Arial"/>
          <w:sz w:val="24"/>
          <w:szCs w:val="24"/>
        </w:rPr>
        <w:tab/>
      </w:r>
      <w:r w:rsidR="00067A40">
        <w:rPr>
          <w:rFonts w:ascii="Arial" w:hAnsi="Arial" w:cs="Arial"/>
          <w:sz w:val="24"/>
          <w:szCs w:val="24"/>
        </w:rPr>
        <w:t xml:space="preserve">Local authorities are expected to identify grey belt land to inform the review and alteration of Green Belt boundaries and the prioritisation detailed in paragraphs 147 and 148 of the NPPF.  </w:t>
      </w:r>
      <w:r>
        <w:rPr>
          <w:rFonts w:ascii="Arial" w:hAnsi="Arial" w:cs="Arial"/>
          <w:sz w:val="24"/>
          <w:szCs w:val="24"/>
        </w:rPr>
        <w:t xml:space="preserve"> </w:t>
      </w:r>
      <w:r w:rsidR="00067A40">
        <w:rPr>
          <w:rFonts w:ascii="Arial" w:hAnsi="Arial" w:cs="Arial"/>
          <w:sz w:val="24"/>
          <w:szCs w:val="24"/>
        </w:rPr>
        <w:t xml:space="preserve">Planning practice guidance sets out the key steps in a Green Belt assessment as </w:t>
      </w:r>
      <w:proofErr w:type="gramStart"/>
      <w:r w:rsidR="00067A40">
        <w:rPr>
          <w:rFonts w:ascii="Arial" w:hAnsi="Arial" w:cs="Arial"/>
          <w:sz w:val="24"/>
          <w:szCs w:val="24"/>
        </w:rPr>
        <w:t>follows:-</w:t>
      </w:r>
      <w:proofErr w:type="gramEnd"/>
    </w:p>
    <w:p w14:paraId="69D52450" w14:textId="77777777" w:rsidR="00067A40" w:rsidRPr="00067A40" w:rsidRDefault="00067A40" w:rsidP="00FE1D98">
      <w:pPr>
        <w:numPr>
          <w:ilvl w:val="0"/>
          <w:numId w:val="8"/>
        </w:numPr>
        <w:shd w:val="clear" w:color="auto" w:fill="FFFFFF"/>
        <w:spacing w:after="150" w:line="240" w:lineRule="auto"/>
        <w:ind w:left="1134" w:hanging="474"/>
        <w:rPr>
          <w:rFonts w:ascii="Arial" w:eastAsia="Times New Roman" w:hAnsi="Arial" w:cs="Arial"/>
          <w:color w:val="0B0C0C"/>
          <w:kern w:val="0"/>
          <w:sz w:val="24"/>
          <w:szCs w:val="24"/>
          <w:lang w:eastAsia="en-GB"/>
          <w14:ligatures w14:val="none"/>
        </w:rPr>
      </w:pPr>
      <w:r w:rsidRPr="00067A40">
        <w:rPr>
          <w:rFonts w:ascii="Arial" w:eastAsia="Times New Roman" w:hAnsi="Arial" w:cs="Arial"/>
          <w:color w:val="0B0C0C"/>
          <w:kern w:val="0"/>
          <w:sz w:val="24"/>
          <w:szCs w:val="24"/>
          <w:lang w:eastAsia="en-GB"/>
          <w14:ligatures w14:val="none"/>
        </w:rPr>
        <w:t>identify the location and appropriate scale of area/s to be assessed</w:t>
      </w:r>
    </w:p>
    <w:p w14:paraId="30DF0FEB" w14:textId="77777777" w:rsidR="00067A40" w:rsidRPr="00067A40" w:rsidRDefault="00067A40" w:rsidP="00FE1D98">
      <w:pPr>
        <w:numPr>
          <w:ilvl w:val="0"/>
          <w:numId w:val="8"/>
        </w:numPr>
        <w:shd w:val="clear" w:color="auto" w:fill="FFFFFF"/>
        <w:spacing w:after="150" w:line="240" w:lineRule="auto"/>
        <w:ind w:left="1134" w:hanging="474"/>
        <w:rPr>
          <w:rFonts w:ascii="Arial" w:eastAsia="Times New Roman" w:hAnsi="Arial" w:cs="Arial"/>
          <w:color w:val="0B0C0C"/>
          <w:kern w:val="0"/>
          <w:sz w:val="24"/>
          <w:szCs w:val="24"/>
          <w:lang w:eastAsia="en-GB"/>
          <w14:ligatures w14:val="none"/>
        </w:rPr>
      </w:pPr>
      <w:r w:rsidRPr="00067A40">
        <w:rPr>
          <w:rFonts w:ascii="Arial" w:eastAsia="Times New Roman" w:hAnsi="Arial" w:cs="Arial"/>
          <w:color w:val="0B0C0C"/>
          <w:kern w:val="0"/>
          <w:sz w:val="24"/>
          <w:szCs w:val="24"/>
          <w:lang w:eastAsia="en-GB"/>
          <w14:ligatures w14:val="none"/>
        </w:rPr>
        <w:t>evaluate the contribution each assessment area makes to Green Belt purposes (a), (b), and (d), using the criteria identified below</w:t>
      </w:r>
    </w:p>
    <w:p w14:paraId="787271B3" w14:textId="77777777" w:rsidR="00067A40" w:rsidRPr="00067A40" w:rsidRDefault="00067A40" w:rsidP="00FE1D98">
      <w:pPr>
        <w:numPr>
          <w:ilvl w:val="0"/>
          <w:numId w:val="8"/>
        </w:numPr>
        <w:shd w:val="clear" w:color="auto" w:fill="FFFFFF"/>
        <w:spacing w:after="150" w:line="240" w:lineRule="auto"/>
        <w:ind w:left="1134" w:hanging="474"/>
        <w:rPr>
          <w:rFonts w:ascii="Arial" w:eastAsia="Times New Roman" w:hAnsi="Arial" w:cs="Arial"/>
          <w:color w:val="0B0C0C"/>
          <w:kern w:val="0"/>
          <w:sz w:val="24"/>
          <w:szCs w:val="24"/>
          <w:lang w:eastAsia="en-GB"/>
          <w14:ligatures w14:val="none"/>
        </w:rPr>
      </w:pPr>
      <w:r w:rsidRPr="00067A40">
        <w:rPr>
          <w:rFonts w:ascii="Arial" w:eastAsia="Times New Roman" w:hAnsi="Arial" w:cs="Arial"/>
          <w:color w:val="0B0C0C"/>
          <w:kern w:val="0"/>
          <w:sz w:val="24"/>
          <w:szCs w:val="24"/>
          <w:lang w:eastAsia="en-GB"/>
          <w14:ligatures w14:val="none"/>
        </w:rPr>
        <w:t>consider whether applying the policies relating to the areas or assets of particular importance in </w:t>
      </w:r>
      <w:hyperlink r:id="rId28" w:anchor="footnote7" w:history="1">
        <w:r w:rsidRPr="00067A40">
          <w:rPr>
            <w:rFonts w:ascii="Arial" w:eastAsia="Times New Roman" w:hAnsi="Arial" w:cs="Arial"/>
            <w:color w:val="1D70B8"/>
            <w:kern w:val="0"/>
            <w:sz w:val="24"/>
            <w:szCs w:val="24"/>
            <w:u w:val="single"/>
            <w:lang w:eastAsia="en-GB"/>
            <w14:ligatures w14:val="none"/>
          </w:rPr>
          <w:t>footnote 7 to the NPPF</w:t>
        </w:r>
      </w:hyperlink>
      <w:r w:rsidRPr="00067A40">
        <w:rPr>
          <w:rFonts w:ascii="Arial" w:eastAsia="Times New Roman" w:hAnsi="Arial" w:cs="Arial"/>
          <w:color w:val="0B0C0C"/>
          <w:kern w:val="0"/>
          <w:sz w:val="24"/>
          <w:szCs w:val="24"/>
          <w:lang w:eastAsia="en-GB"/>
          <w14:ligatures w14:val="none"/>
        </w:rPr>
        <w:t> (other than Green Belt) would potentially provide a strong reason for refusing or restricting development of the assessment area</w:t>
      </w:r>
    </w:p>
    <w:p w14:paraId="5980DD3B" w14:textId="77777777" w:rsidR="00067A40" w:rsidRPr="00067A40" w:rsidRDefault="00067A40" w:rsidP="00FE1D98">
      <w:pPr>
        <w:numPr>
          <w:ilvl w:val="0"/>
          <w:numId w:val="8"/>
        </w:numPr>
        <w:shd w:val="clear" w:color="auto" w:fill="FFFFFF"/>
        <w:spacing w:after="150" w:line="240" w:lineRule="auto"/>
        <w:ind w:left="1134" w:hanging="474"/>
        <w:rPr>
          <w:rFonts w:ascii="Arial" w:eastAsia="Times New Roman" w:hAnsi="Arial" w:cs="Arial"/>
          <w:color w:val="0B0C0C"/>
          <w:kern w:val="0"/>
          <w:sz w:val="24"/>
          <w:szCs w:val="24"/>
          <w:lang w:eastAsia="en-GB"/>
          <w14:ligatures w14:val="none"/>
        </w:rPr>
      </w:pPr>
      <w:r w:rsidRPr="00067A40">
        <w:rPr>
          <w:rFonts w:ascii="Arial" w:eastAsia="Times New Roman" w:hAnsi="Arial" w:cs="Arial"/>
          <w:color w:val="0B0C0C"/>
          <w:kern w:val="0"/>
          <w:sz w:val="24"/>
          <w:szCs w:val="24"/>
          <w:lang w:eastAsia="en-GB"/>
          <w14:ligatures w14:val="none"/>
        </w:rPr>
        <w:t>identify grey belt land</w:t>
      </w:r>
    </w:p>
    <w:p w14:paraId="3FB40E5B" w14:textId="77777777" w:rsidR="00067A40" w:rsidRPr="00067A40" w:rsidRDefault="00067A40" w:rsidP="00FE1D98">
      <w:pPr>
        <w:numPr>
          <w:ilvl w:val="0"/>
          <w:numId w:val="8"/>
        </w:numPr>
        <w:shd w:val="clear" w:color="auto" w:fill="FFFFFF"/>
        <w:spacing w:after="150" w:line="240" w:lineRule="auto"/>
        <w:ind w:left="1134" w:hanging="474"/>
        <w:rPr>
          <w:rFonts w:ascii="Arial" w:eastAsia="Times New Roman" w:hAnsi="Arial" w:cs="Arial"/>
          <w:color w:val="0B0C0C"/>
          <w:kern w:val="0"/>
          <w:sz w:val="24"/>
          <w:szCs w:val="24"/>
          <w:lang w:eastAsia="en-GB"/>
          <w14:ligatures w14:val="none"/>
        </w:rPr>
      </w:pPr>
      <w:r w:rsidRPr="00067A40">
        <w:rPr>
          <w:rFonts w:ascii="Arial" w:eastAsia="Times New Roman" w:hAnsi="Arial" w:cs="Arial"/>
          <w:color w:val="0B0C0C"/>
          <w:kern w:val="0"/>
          <w:sz w:val="24"/>
          <w:szCs w:val="24"/>
          <w:lang w:eastAsia="en-GB"/>
          <w14:ligatures w14:val="none"/>
        </w:rPr>
        <w:t>identify if the release or development of the assessment area/s would fundamentally undermine the five Green Belt purposes (taken together) of the remaining Green Belt when considered across the area of the plan</w:t>
      </w:r>
    </w:p>
    <w:p w14:paraId="010C291B" w14:textId="77777777" w:rsidR="00AD2CFB" w:rsidRDefault="00AD2CFB" w:rsidP="00AF633F">
      <w:pPr>
        <w:rPr>
          <w:rFonts w:ascii="Arial" w:hAnsi="Arial" w:cs="Arial"/>
          <w:b/>
          <w:bCs/>
          <w:sz w:val="24"/>
          <w:szCs w:val="24"/>
        </w:rPr>
      </w:pPr>
    </w:p>
    <w:p w14:paraId="2FFACB4B" w14:textId="72960A0A" w:rsidR="00AF633F" w:rsidRPr="007A56E5" w:rsidRDefault="00AF633F" w:rsidP="00AF633F">
      <w:pPr>
        <w:rPr>
          <w:rFonts w:ascii="Arial" w:hAnsi="Arial" w:cs="Arial"/>
          <w:b/>
          <w:bCs/>
          <w:sz w:val="24"/>
          <w:szCs w:val="24"/>
        </w:rPr>
      </w:pPr>
      <w:r w:rsidRPr="007A56E5">
        <w:rPr>
          <w:rFonts w:ascii="Arial" w:hAnsi="Arial" w:cs="Arial"/>
          <w:b/>
          <w:bCs/>
          <w:sz w:val="24"/>
          <w:szCs w:val="24"/>
        </w:rPr>
        <w:t>5. Overall Approach</w:t>
      </w:r>
    </w:p>
    <w:p w14:paraId="4B55E892" w14:textId="17B049B5" w:rsidR="00AF633F" w:rsidRPr="00915835" w:rsidRDefault="00AF633F" w:rsidP="008C6F9F">
      <w:pPr>
        <w:ind w:left="709" w:hanging="709"/>
        <w:rPr>
          <w:rFonts w:ascii="Arial" w:hAnsi="Arial" w:cs="Arial"/>
          <w:sz w:val="24"/>
          <w:szCs w:val="24"/>
        </w:rPr>
      </w:pPr>
      <w:r w:rsidRPr="00AF633F">
        <w:rPr>
          <w:rFonts w:ascii="Arial" w:hAnsi="Arial" w:cs="Arial"/>
          <w:sz w:val="24"/>
          <w:szCs w:val="24"/>
        </w:rPr>
        <w:t xml:space="preserve">5.1 </w:t>
      </w:r>
      <w:r w:rsidR="008C6F9F">
        <w:rPr>
          <w:rFonts w:ascii="Arial" w:hAnsi="Arial" w:cs="Arial"/>
          <w:sz w:val="24"/>
          <w:szCs w:val="24"/>
        </w:rPr>
        <w:tab/>
      </w:r>
      <w:r w:rsidR="00715557">
        <w:rPr>
          <w:rFonts w:ascii="Arial" w:hAnsi="Arial" w:cs="Arial"/>
          <w:sz w:val="24"/>
          <w:szCs w:val="24"/>
        </w:rPr>
        <w:t xml:space="preserve">Whilst following the approach to Green Belt review set out in </w:t>
      </w:r>
      <w:r w:rsidR="00715557" w:rsidRPr="00915835">
        <w:rPr>
          <w:rFonts w:ascii="Arial" w:hAnsi="Arial" w:cs="Arial"/>
          <w:sz w:val="24"/>
          <w:szCs w:val="24"/>
        </w:rPr>
        <w:t xml:space="preserve">Planning Practice Guidance, </w:t>
      </w:r>
      <w:r w:rsidRPr="00915835">
        <w:rPr>
          <w:rFonts w:ascii="Arial" w:hAnsi="Arial" w:cs="Arial"/>
          <w:sz w:val="24"/>
          <w:szCs w:val="24"/>
        </w:rPr>
        <w:t xml:space="preserve">this Framework sets out a </w:t>
      </w:r>
      <w:proofErr w:type="gramStart"/>
      <w:r w:rsidR="00623D71" w:rsidRPr="00915835">
        <w:rPr>
          <w:rFonts w:ascii="Arial" w:hAnsi="Arial" w:cs="Arial"/>
          <w:sz w:val="24"/>
          <w:szCs w:val="24"/>
        </w:rPr>
        <w:t xml:space="preserve">two </w:t>
      </w:r>
      <w:r w:rsidR="00A80773" w:rsidRPr="00915835">
        <w:rPr>
          <w:rFonts w:ascii="Arial" w:hAnsi="Arial" w:cs="Arial"/>
          <w:sz w:val="24"/>
          <w:szCs w:val="24"/>
        </w:rPr>
        <w:t>stage</w:t>
      </w:r>
      <w:proofErr w:type="gramEnd"/>
      <w:r w:rsidR="00A80773" w:rsidRPr="00915835">
        <w:rPr>
          <w:rFonts w:ascii="Arial" w:hAnsi="Arial" w:cs="Arial"/>
          <w:sz w:val="24"/>
          <w:szCs w:val="24"/>
        </w:rPr>
        <w:t xml:space="preserve"> </w:t>
      </w:r>
      <w:r w:rsidRPr="00915835">
        <w:rPr>
          <w:rFonts w:ascii="Arial" w:hAnsi="Arial" w:cs="Arial"/>
          <w:sz w:val="24"/>
          <w:szCs w:val="24"/>
        </w:rPr>
        <w:t>process</w:t>
      </w:r>
      <w:r w:rsidR="00303776" w:rsidRPr="00915835">
        <w:rPr>
          <w:rFonts w:ascii="Arial" w:hAnsi="Arial" w:cs="Arial"/>
          <w:sz w:val="24"/>
          <w:szCs w:val="24"/>
        </w:rPr>
        <w:t xml:space="preserve"> (reflecting the previous strategic work outlined in Section 2)</w:t>
      </w:r>
      <w:r w:rsidRPr="00915835">
        <w:rPr>
          <w:rFonts w:ascii="Arial" w:hAnsi="Arial" w:cs="Arial"/>
          <w:sz w:val="24"/>
          <w:szCs w:val="24"/>
        </w:rPr>
        <w:t>, as described below.</w:t>
      </w:r>
    </w:p>
    <w:p w14:paraId="6B1E2A88" w14:textId="361B351D" w:rsidR="00304CE9" w:rsidRPr="00915835" w:rsidRDefault="00304CE9" w:rsidP="00915835">
      <w:pPr>
        <w:ind w:left="709" w:hanging="709"/>
        <w:rPr>
          <w:rFonts w:ascii="Arial" w:hAnsi="Arial" w:cs="Arial"/>
          <w:sz w:val="24"/>
          <w:szCs w:val="24"/>
        </w:rPr>
      </w:pPr>
      <w:r w:rsidRPr="00915835">
        <w:rPr>
          <w:rFonts w:ascii="Arial" w:eastAsia="Times New Roman" w:hAnsi="Arial" w:cs="Arial"/>
          <w:color w:val="0B0C0C"/>
          <w:kern w:val="0"/>
          <w:sz w:val="24"/>
          <w:szCs w:val="24"/>
          <w:lang w:eastAsia="en-GB"/>
          <w14:ligatures w14:val="none"/>
        </w:rPr>
        <w:lastRenderedPageBreak/>
        <w:t>5.2</w:t>
      </w:r>
      <w:r w:rsidRPr="00915835">
        <w:rPr>
          <w:rFonts w:ascii="Arial" w:eastAsia="Times New Roman" w:hAnsi="Arial" w:cs="Arial"/>
          <w:color w:val="0B0C0C"/>
          <w:kern w:val="0"/>
          <w:sz w:val="24"/>
          <w:szCs w:val="24"/>
          <w:lang w:eastAsia="en-GB"/>
          <w14:ligatures w14:val="none"/>
        </w:rPr>
        <w:tab/>
      </w:r>
      <w:r w:rsidRPr="00915835">
        <w:rPr>
          <w:rFonts w:ascii="Arial" w:hAnsi="Arial" w:cs="Arial"/>
          <w:sz w:val="24"/>
          <w:szCs w:val="24"/>
        </w:rPr>
        <w:t xml:space="preserve">It is recognised that each authority will undertake a Green Belt Assessment in accordance with this </w:t>
      </w:r>
      <w:r w:rsidR="00731192">
        <w:rPr>
          <w:rFonts w:ascii="Arial" w:hAnsi="Arial" w:cs="Arial"/>
          <w:sz w:val="24"/>
          <w:szCs w:val="24"/>
        </w:rPr>
        <w:t>Framework</w:t>
      </w:r>
      <w:r w:rsidRPr="00915835">
        <w:rPr>
          <w:rFonts w:ascii="Arial" w:hAnsi="Arial" w:cs="Arial"/>
          <w:sz w:val="24"/>
          <w:szCs w:val="24"/>
        </w:rPr>
        <w:t xml:space="preserve"> at an appropriate time to inform preparation of their local plan.  However, consistency reviews will be undertaken following completion of assessments, </w:t>
      </w:r>
      <w:r w:rsidRPr="00915835">
        <w:rPr>
          <w:rFonts w:ascii="Arial" w:eastAsia="Times New Roman" w:hAnsi="Arial" w:cs="Arial"/>
          <w:color w:val="0B0C0C"/>
          <w:kern w:val="0"/>
          <w:sz w:val="24"/>
          <w:szCs w:val="24"/>
          <w:lang w:eastAsia="en-GB"/>
          <w14:ligatures w14:val="none"/>
        </w:rPr>
        <w:t xml:space="preserve">to ensure that the </w:t>
      </w:r>
      <w:r w:rsidR="00731192">
        <w:rPr>
          <w:rFonts w:ascii="Arial" w:eastAsia="Times New Roman" w:hAnsi="Arial" w:cs="Arial"/>
          <w:color w:val="0B0C0C"/>
          <w:kern w:val="0"/>
          <w:sz w:val="24"/>
          <w:szCs w:val="24"/>
          <w:lang w:eastAsia="en-GB"/>
          <w14:ligatures w14:val="none"/>
        </w:rPr>
        <w:t>Assessment Framework</w:t>
      </w:r>
      <w:r w:rsidRPr="00915835">
        <w:rPr>
          <w:rFonts w:ascii="Arial" w:eastAsia="Times New Roman" w:hAnsi="Arial" w:cs="Arial"/>
          <w:color w:val="0B0C0C"/>
          <w:kern w:val="0"/>
          <w:sz w:val="24"/>
          <w:szCs w:val="24"/>
          <w:lang w:eastAsia="en-GB"/>
          <w14:ligatures w14:val="none"/>
        </w:rPr>
        <w:t xml:space="preserve"> has been applied in a consistent manner by each Council when carrying out assessments</w:t>
      </w:r>
      <w:r w:rsidR="001B2D60" w:rsidRPr="00915835">
        <w:rPr>
          <w:rFonts w:ascii="Arial" w:eastAsia="Times New Roman" w:hAnsi="Arial" w:cs="Arial"/>
          <w:color w:val="0B0C0C"/>
          <w:kern w:val="0"/>
          <w:sz w:val="24"/>
          <w:szCs w:val="24"/>
          <w:lang w:eastAsia="en-GB"/>
          <w14:ligatures w14:val="none"/>
        </w:rPr>
        <w:t>, particularly where the Gre</w:t>
      </w:r>
      <w:r w:rsidR="00170666" w:rsidRPr="00915835">
        <w:rPr>
          <w:rFonts w:ascii="Arial" w:eastAsia="Times New Roman" w:hAnsi="Arial" w:cs="Arial"/>
          <w:color w:val="0B0C0C"/>
          <w:kern w:val="0"/>
          <w:sz w:val="24"/>
          <w:szCs w:val="24"/>
          <w:lang w:eastAsia="en-GB"/>
          <w14:ligatures w14:val="none"/>
        </w:rPr>
        <w:t>e</w:t>
      </w:r>
      <w:r w:rsidR="001B2D60" w:rsidRPr="00915835">
        <w:rPr>
          <w:rFonts w:ascii="Arial" w:eastAsia="Times New Roman" w:hAnsi="Arial" w:cs="Arial"/>
          <w:color w:val="0B0C0C"/>
          <w:kern w:val="0"/>
          <w:sz w:val="24"/>
          <w:szCs w:val="24"/>
          <w:lang w:eastAsia="en-GB"/>
          <w14:ligatures w14:val="none"/>
        </w:rPr>
        <w:t xml:space="preserve">n Belt crosses </w:t>
      </w:r>
      <w:r w:rsidR="0078666D">
        <w:rPr>
          <w:rFonts w:ascii="Arial" w:eastAsia="Times New Roman" w:hAnsi="Arial" w:cs="Arial"/>
          <w:color w:val="0B0C0C"/>
          <w:kern w:val="0"/>
          <w:sz w:val="24"/>
          <w:szCs w:val="24"/>
          <w:lang w:eastAsia="en-GB"/>
          <w14:ligatures w14:val="none"/>
        </w:rPr>
        <w:t>C</w:t>
      </w:r>
      <w:r w:rsidR="001B2D60" w:rsidRPr="00915835">
        <w:rPr>
          <w:rFonts w:ascii="Arial" w:eastAsia="Times New Roman" w:hAnsi="Arial" w:cs="Arial"/>
          <w:color w:val="0B0C0C"/>
          <w:kern w:val="0"/>
          <w:sz w:val="24"/>
          <w:szCs w:val="24"/>
          <w:lang w:eastAsia="en-GB"/>
          <w14:ligatures w14:val="none"/>
        </w:rPr>
        <w:t>ouncil boundaries</w:t>
      </w:r>
      <w:r w:rsidRPr="00915835">
        <w:rPr>
          <w:rFonts w:ascii="Arial" w:eastAsia="Times New Roman" w:hAnsi="Arial" w:cs="Arial"/>
          <w:color w:val="0B0C0C"/>
          <w:kern w:val="0"/>
          <w:sz w:val="24"/>
          <w:szCs w:val="24"/>
          <w:lang w:eastAsia="en-GB"/>
          <w14:ligatures w14:val="none"/>
        </w:rPr>
        <w:t>.  The consistency reviews will involve the participating Councils</w:t>
      </w:r>
      <w:r w:rsidR="0078666D">
        <w:rPr>
          <w:rFonts w:ascii="Arial" w:eastAsia="Times New Roman" w:hAnsi="Arial" w:cs="Arial"/>
          <w:color w:val="0B0C0C"/>
          <w:kern w:val="0"/>
          <w:sz w:val="24"/>
          <w:szCs w:val="24"/>
          <w:lang w:eastAsia="en-GB"/>
          <w14:ligatures w14:val="none"/>
        </w:rPr>
        <w:t>’</w:t>
      </w:r>
      <w:r w:rsidRPr="00915835">
        <w:rPr>
          <w:rFonts w:ascii="Arial" w:hAnsi="Arial" w:cs="Arial"/>
          <w:sz w:val="24"/>
          <w:szCs w:val="24"/>
        </w:rPr>
        <w:t xml:space="preserve"> reviewing a sample of assessments and making recommendations where any consistency issues were identified. Any significant alterations to the assessments would need to be discussed by the participating Councils.  Discussions will also take place with neighbouring Councils not involved with the preparation of this Review in areas where the Green Belt crosses local authority boundaries. </w:t>
      </w:r>
    </w:p>
    <w:p w14:paraId="7D273E64" w14:textId="4A91B3DE" w:rsidR="00832A68" w:rsidRPr="00915835" w:rsidRDefault="00452992" w:rsidP="00915835">
      <w:pPr>
        <w:ind w:left="709" w:hanging="709"/>
        <w:rPr>
          <w:rFonts w:ascii="Arial" w:hAnsi="Arial" w:cs="Arial"/>
          <w:sz w:val="24"/>
          <w:szCs w:val="24"/>
        </w:rPr>
      </w:pPr>
      <w:r w:rsidRPr="00915835">
        <w:rPr>
          <w:rFonts w:ascii="Arial" w:hAnsi="Arial" w:cs="Arial"/>
          <w:sz w:val="24"/>
          <w:szCs w:val="24"/>
        </w:rPr>
        <w:t>5.3</w:t>
      </w:r>
      <w:r w:rsidRPr="00915835">
        <w:rPr>
          <w:rFonts w:ascii="Arial" w:hAnsi="Arial" w:cs="Arial"/>
          <w:sz w:val="24"/>
          <w:szCs w:val="24"/>
        </w:rPr>
        <w:tab/>
        <w:t xml:space="preserve">The </w:t>
      </w:r>
      <w:r w:rsidRPr="00915835">
        <w:rPr>
          <w:rFonts w:ascii="Arial" w:hAnsi="Arial" w:cs="Arial"/>
          <w:sz w:val="24"/>
          <w:szCs w:val="24"/>
          <w:lang w:eastAsia="en-GB"/>
        </w:rPr>
        <w:t xml:space="preserve">assessment of individual areas will be considered against the Assessment Matrix attached at </w:t>
      </w:r>
      <w:r w:rsidRPr="00915835">
        <w:rPr>
          <w:rFonts w:ascii="Arial" w:hAnsi="Arial" w:cs="Arial"/>
          <w:b/>
          <w:bCs/>
          <w:sz w:val="24"/>
          <w:szCs w:val="24"/>
          <w:lang w:eastAsia="en-GB"/>
        </w:rPr>
        <w:t xml:space="preserve">Appendix </w:t>
      </w:r>
      <w:r w:rsidR="00915835" w:rsidRPr="00915835">
        <w:rPr>
          <w:rFonts w:ascii="Arial" w:hAnsi="Arial" w:cs="Arial"/>
          <w:b/>
          <w:bCs/>
          <w:sz w:val="24"/>
          <w:szCs w:val="24"/>
          <w:lang w:eastAsia="en-GB"/>
        </w:rPr>
        <w:t>2</w:t>
      </w:r>
      <w:r w:rsidRPr="00915835">
        <w:rPr>
          <w:rFonts w:ascii="Arial" w:hAnsi="Arial" w:cs="Arial"/>
          <w:sz w:val="24"/>
          <w:szCs w:val="24"/>
          <w:lang w:eastAsia="en-GB"/>
        </w:rPr>
        <w:t xml:space="preserve">, which is </w:t>
      </w:r>
      <w:r w:rsidRPr="00915835">
        <w:rPr>
          <w:rFonts w:ascii="Arial" w:hAnsi="Arial" w:cs="Arial"/>
          <w:sz w:val="24"/>
          <w:szCs w:val="24"/>
        </w:rPr>
        <w:t xml:space="preserve">based on the five purposes of the Green Belt as set out in paragraph 143 of the NPPF and Planning Practice Guidance.  For purpose (c), the illustrative features have been carried forward from the Greater Nottingham and Ashfield Green Belt Assessment Framework 2015.  Similarly, for purpose (e), it is considered that all land </w:t>
      </w:r>
      <w:r w:rsidR="00AD2CFB">
        <w:rPr>
          <w:rFonts w:ascii="Arial" w:hAnsi="Arial" w:cs="Arial"/>
          <w:sz w:val="24"/>
          <w:szCs w:val="24"/>
        </w:rPr>
        <w:t>i</w:t>
      </w:r>
      <w:r w:rsidRPr="00915835">
        <w:rPr>
          <w:rFonts w:ascii="Arial" w:hAnsi="Arial" w:cs="Arial"/>
          <w:sz w:val="24"/>
          <w:szCs w:val="24"/>
        </w:rPr>
        <w:t>n the Green Belt assists in urban regeneration to the same extent and therefore no illustrative features are proposed to distinguish between the values of various sites/locations.</w:t>
      </w:r>
    </w:p>
    <w:p w14:paraId="7FE70A98" w14:textId="77777777" w:rsidR="00304CE9" w:rsidRDefault="00304CE9" w:rsidP="008C6F9F">
      <w:pPr>
        <w:ind w:left="709" w:hanging="709"/>
        <w:rPr>
          <w:rFonts w:ascii="Arial" w:hAnsi="Arial" w:cs="Arial"/>
          <w:sz w:val="24"/>
          <w:szCs w:val="24"/>
        </w:rPr>
      </w:pPr>
    </w:p>
    <w:p w14:paraId="15A88044" w14:textId="0C675AF6" w:rsidR="00067A40" w:rsidRDefault="00A16076" w:rsidP="00067A40">
      <w:pPr>
        <w:ind w:left="709" w:hanging="709"/>
        <w:rPr>
          <w:rFonts w:ascii="Arial" w:hAnsi="Arial" w:cs="Arial"/>
          <w:b/>
          <w:bCs/>
          <w:sz w:val="24"/>
          <w:szCs w:val="24"/>
          <w:u w:val="single"/>
        </w:rPr>
      </w:pPr>
      <w:r w:rsidRPr="00303776">
        <w:rPr>
          <w:rFonts w:ascii="Arial" w:hAnsi="Arial" w:cs="Arial"/>
          <w:b/>
          <w:bCs/>
          <w:sz w:val="24"/>
          <w:szCs w:val="24"/>
          <w:u w:val="single"/>
        </w:rPr>
        <w:t>Step</w:t>
      </w:r>
      <w:r w:rsidR="00807767" w:rsidRPr="00715557">
        <w:rPr>
          <w:rFonts w:ascii="Arial" w:hAnsi="Arial" w:cs="Arial"/>
          <w:b/>
          <w:bCs/>
          <w:sz w:val="24"/>
          <w:szCs w:val="24"/>
          <w:u w:val="single"/>
        </w:rPr>
        <w:t xml:space="preserve"> </w:t>
      </w:r>
      <w:r w:rsidR="00067A40" w:rsidRPr="00715557">
        <w:rPr>
          <w:rFonts w:ascii="Arial" w:hAnsi="Arial" w:cs="Arial"/>
          <w:b/>
          <w:bCs/>
          <w:sz w:val="24"/>
          <w:szCs w:val="24"/>
          <w:u w:val="single"/>
        </w:rPr>
        <w:t>1</w:t>
      </w:r>
      <w:r w:rsidR="00EB2299">
        <w:rPr>
          <w:rFonts w:ascii="Arial" w:hAnsi="Arial" w:cs="Arial"/>
          <w:b/>
          <w:bCs/>
          <w:sz w:val="24"/>
          <w:szCs w:val="24"/>
          <w:u w:val="single"/>
        </w:rPr>
        <w:t xml:space="preserve"> -</w:t>
      </w:r>
      <w:r w:rsidR="00067A40" w:rsidRPr="00067A40">
        <w:rPr>
          <w:rFonts w:ascii="Arial" w:hAnsi="Arial" w:cs="Arial"/>
          <w:b/>
          <w:bCs/>
          <w:sz w:val="24"/>
          <w:szCs w:val="24"/>
          <w:u w:val="single"/>
        </w:rPr>
        <w:t xml:space="preserve"> Identify the location and appropriate scale of area(s) to be assessed.</w:t>
      </w:r>
    </w:p>
    <w:p w14:paraId="7A84916C" w14:textId="1B946EF0" w:rsidR="001709B5" w:rsidRDefault="00067A40" w:rsidP="008C6F9F">
      <w:pPr>
        <w:ind w:left="709" w:hanging="709"/>
        <w:rPr>
          <w:rFonts w:ascii="Arial" w:hAnsi="Arial" w:cs="Arial"/>
          <w:sz w:val="24"/>
          <w:szCs w:val="24"/>
        </w:rPr>
      </w:pPr>
      <w:r w:rsidRPr="00067A40">
        <w:rPr>
          <w:rFonts w:ascii="Arial" w:hAnsi="Arial" w:cs="Arial"/>
          <w:sz w:val="24"/>
          <w:szCs w:val="24"/>
        </w:rPr>
        <w:t>5.</w:t>
      </w:r>
      <w:r w:rsidR="00915835">
        <w:rPr>
          <w:rFonts w:ascii="Arial" w:hAnsi="Arial" w:cs="Arial"/>
          <w:sz w:val="24"/>
          <w:szCs w:val="24"/>
        </w:rPr>
        <w:t>4</w:t>
      </w:r>
      <w:r w:rsidRPr="00067A40">
        <w:rPr>
          <w:rFonts w:ascii="Arial" w:hAnsi="Arial" w:cs="Arial"/>
          <w:sz w:val="24"/>
          <w:szCs w:val="24"/>
        </w:rPr>
        <w:tab/>
      </w:r>
      <w:r w:rsidRPr="00067A40">
        <w:rPr>
          <w:rFonts w:ascii="Arial" w:hAnsi="Arial" w:cs="Arial"/>
          <w:sz w:val="24"/>
          <w:szCs w:val="24"/>
        </w:rPr>
        <w:tab/>
      </w:r>
      <w:r w:rsidR="00623D71" w:rsidRPr="00303776">
        <w:rPr>
          <w:rFonts w:ascii="Arial" w:hAnsi="Arial" w:cs="Arial"/>
          <w:sz w:val="24"/>
          <w:szCs w:val="24"/>
        </w:rPr>
        <w:t>Planning practice guidance updated in February 2025 enables t</w:t>
      </w:r>
      <w:r w:rsidRPr="00623D71">
        <w:rPr>
          <w:rFonts w:ascii="Arial" w:hAnsi="Arial" w:cs="Arial"/>
          <w:sz w:val="24"/>
          <w:szCs w:val="24"/>
        </w:rPr>
        <w:t xml:space="preserve">he number and size of assessment areas </w:t>
      </w:r>
      <w:r w:rsidR="00623D71" w:rsidRPr="00623D71">
        <w:rPr>
          <w:rFonts w:ascii="Arial" w:hAnsi="Arial" w:cs="Arial"/>
          <w:sz w:val="24"/>
          <w:szCs w:val="24"/>
        </w:rPr>
        <w:t>to</w:t>
      </w:r>
      <w:r w:rsidRPr="00623D71">
        <w:rPr>
          <w:rFonts w:ascii="Arial" w:hAnsi="Arial" w:cs="Arial"/>
          <w:sz w:val="24"/>
          <w:szCs w:val="24"/>
        </w:rPr>
        <w:t xml:space="preserve"> be</w:t>
      </w:r>
      <w:r>
        <w:rPr>
          <w:rFonts w:ascii="Arial" w:hAnsi="Arial" w:cs="Arial"/>
          <w:sz w:val="24"/>
          <w:szCs w:val="24"/>
        </w:rPr>
        <w:t xml:space="preserve"> defined at a local level and respond to local circumstances.  However, assessment areas should be sufficiently granular to enable the assessment of their variable contribution to Green Belt purposes. Continuing the two-stage approach taken by the 2015 </w:t>
      </w:r>
      <w:r w:rsidR="00731192">
        <w:rPr>
          <w:rFonts w:ascii="Arial" w:hAnsi="Arial" w:cs="Arial"/>
          <w:sz w:val="24"/>
          <w:szCs w:val="24"/>
        </w:rPr>
        <w:t>Assessment Framework</w:t>
      </w:r>
      <w:r>
        <w:rPr>
          <w:rFonts w:ascii="Arial" w:hAnsi="Arial" w:cs="Arial"/>
          <w:sz w:val="24"/>
          <w:szCs w:val="24"/>
        </w:rPr>
        <w:t xml:space="preserve"> enables the consideration of both broad areas and smaller sites.  </w:t>
      </w:r>
    </w:p>
    <w:p w14:paraId="78907DBD" w14:textId="3641AEDD" w:rsidR="00AF633F" w:rsidRDefault="00AF633F" w:rsidP="007A56E5">
      <w:pPr>
        <w:ind w:left="709" w:hanging="709"/>
        <w:rPr>
          <w:rFonts w:ascii="Arial" w:hAnsi="Arial" w:cs="Arial"/>
          <w:sz w:val="24"/>
          <w:szCs w:val="24"/>
        </w:rPr>
      </w:pPr>
      <w:r w:rsidRPr="00AF633F">
        <w:rPr>
          <w:rFonts w:ascii="Arial" w:hAnsi="Arial" w:cs="Arial"/>
          <w:sz w:val="24"/>
          <w:szCs w:val="24"/>
        </w:rPr>
        <w:t>5.</w:t>
      </w:r>
      <w:r w:rsidR="00915835">
        <w:rPr>
          <w:rFonts w:ascii="Arial" w:hAnsi="Arial" w:cs="Arial"/>
          <w:sz w:val="24"/>
          <w:szCs w:val="24"/>
        </w:rPr>
        <w:t>5</w:t>
      </w:r>
      <w:r w:rsidRPr="00AF633F">
        <w:rPr>
          <w:rFonts w:ascii="Arial" w:hAnsi="Arial" w:cs="Arial"/>
          <w:sz w:val="24"/>
          <w:szCs w:val="24"/>
        </w:rPr>
        <w:t xml:space="preserve"> </w:t>
      </w:r>
      <w:r w:rsidR="007A56E5">
        <w:rPr>
          <w:rFonts w:ascii="Arial" w:hAnsi="Arial" w:cs="Arial"/>
          <w:sz w:val="24"/>
          <w:szCs w:val="24"/>
        </w:rPr>
        <w:tab/>
      </w:r>
      <w:r w:rsidR="003C0E04">
        <w:rPr>
          <w:rFonts w:ascii="Arial" w:hAnsi="Arial" w:cs="Arial"/>
          <w:sz w:val="24"/>
          <w:szCs w:val="24"/>
        </w:rPr>
        <w:t>L</w:t>
      </w:r>
      <w:r w:rsidRPr="00AF633F">
        <w:rPr>
          <w:rFonts w:ascii="Arial" w:hAnsi="Arial" w:cs="Arial"/>
          <w:sz w:val="24"/>
          <w:szCs w:val="24"/>
        </w:rPr>
        <w:t>and around settlements will be divided into broad areas (such as north, south, east and west of the settlement) based on their similar</w:t>
      </w:r>
      <w:r w:rsidR="007A56E5">
        <w:rPr>
          <w:rFonts w:ascii="Arial" w:hAnsi="Arial" w:cs="Arial"/>
          <w:sz w:val="24"/>
          <w:szCs w:val="24"/>
        </w:rPr>
        <w:t xml:space="preserve"> </w:t>
      </w:r>
      <w:r w:rsidRPr="00AF633F">
        <w:rPr>
          <w:rFonts w:ascii="Arial" w:hAnsi="Arial" w:cs="Arial"/>
          <w:sz w:val="24"/>
          <w:szCs w:val="24"/>
        </w:rPr>
        <w:t xml:space="preserve">characteristics in terms of size, structure and form. The boundaries of these broad areas will be chosen using Ordnance Survey maps, topographical maps, aerial photographs and professional judgment.  </w:t>
      </w:r>
    </w:p>
    <w:p w14:paraId="2194F933" w14:textId="11B2BE02" w:rsidR="001709B5" w:rsidRDefault="00915835" w:rsidP="00915835">
      <w:pPr>
        <w:ind w:left="709" w:hanging="709"/>
        <w:rPr>
          <w:rFonts w:ascii="Arial" w:hAnsi="Arial" w:cs="Arial"/>
          <w:sz w:val="24"/>
          <w:szCs w:val="24"/>
        </w:rPr>
      </w:pPr>
      <w:r>
        <w:rPr>
          <w:rFonts w:ascii="Arial" w:hAnsi="Arial" w:cs="Arial"/>
          <w:sz w:val="24"/>
          <w:szCs w:val="24"/>
        </w:rPr>
        <w:t>5.</w:t>
      </w:r>
      <w:r w:rsidR="00B56806">
        <w:rPr>
          <w:rFonts w:ascii="Arial" w:hAnsi="Arial" w:cs="Arial"/>
          <w:sz w:val="24"/>
          <w:szCs w:val="24"/>
        </w:rPr>
        <w:t>6</w:t>
      </w:r>
      <w:r>
        <w:rPr>
          <w:rFonts w:ascii="Arial" w:hAnsi="Arial" w:cs="Arial"/>
          <w:sz w:val="24"/>
          <w:szCs w:val="24"/>
        </w:rPr>
        <w:tab/>
      </w:r>
      <w:r w:rsidR="00CA038A">
        <w:rPr>
          <w:rFonts w:ascii="Arial" w:hAnsi="Arial" w:cs="Arial"/>
          <w:sz w:val="24"/>
          <w:szCs w:val="24"/>
        </w:rPr>
        <w:t xml:space="preserve">Unless a broad area is screened out, </w:t>
      </w:r>
      <w:r w:rsidR="001709B5">
        <w:rPr>
          <w:rFonts w:ascii="Arial" w:hAnsi="Arial" w:cs="Arial"/>
          <w:sz w:val="24"/>
          <w:szCs w:val="24"/>
        </w:rPr>
        <w:t xml:space="preserve">smaller sites </w:t>
      </w:r>
      <w:r w:rsidR="00CA038A">
        <w:rPr>
          <w:rFonts w:ascii="Arial" w:hAnsi="Arial" w:cs="Arial"/>
          <w:sz w:val="24"/>
          <w:szCs w:val="24"/>
        </w:rPr>
        <w:t xml:space="preserve">will then </w:t>
      </w:r>
      <w:r w:rsidR="001709B5">
        <w:rPr>
          <w:rFonts w:ascii="Arial" w:hAnsi="Arial" w:cs="Arial"/>
          <w:sz w:val="24"/>
          <w:szCs w:val="24"/>
        </w:rPr>
        <w:t>be assessed</w:t>
      </w:r>
      <w:r w:rsidR="00CA038A">
        <w:rPr>
          <w:rFonts w:ascii="Arial" w:hAnsi="Arial" w:cs="Arial"/>
          <w:sz w:val="24"/>
          <w:szCs w:val="24"/>
        </w:rPr>
        <w:t xml:space="preserve"> </w:t>
      </w:r>
      <w:r w:rsidR="00B56806">
        <w:rPr>
          <w:rFonts w:ascii="Arial" w:hAnsi="Arial" w:cs="Arial"/>
          <w:sz w:val="24"/>
          <w:szCs w:val="24"/>
        </w:rPr>
        <w:t>utilising either of the following approaches:</w:t>
      </w:r>
    </w:p>
    <w:p w14:paraId="01F669A7" w14:textId="77777777" w:rsidR="00B56806" w:rsidRDefault="00B56806" w:rsidP="00B56806">
      <w:pPr>
        <w:ind w:left="1134" w:hanging="425"/>
        <w:rPr>
          <w:rFonts w:ascii="Arial" w:hAnsi="Arial" w:cs="Arial"/>
          <w:sz w:val="24"/>
          <w:szCs w:val="24"/>
        </w:rPr>
      </w:pPr>
      <w:r w:rsidRPr="00AF633F">
        <w:rPr>
          <w:rFonts w:ascii="Arial" w:hAnsi="Arial" w:cs="Arial"/>
          <w:sz w:val="24"/>
          <w:szCs w:val="24"/>
        </w:rPr>
        <w:t xml:space="preserve">a) </w:t>
      </w:r>
      <w:r>
        <w:rPr>
          <w:rFonts w:ascii="Arial" w:hAnsi="Arial" w:cs="Arial"/>
          <w:sz w:val="24"/>
          <w:szCs w:val="24"/>
        </w:rPr>
        <w:tab/>
      </w:r>
      <w:r w:rsidRPr="00AF633F">
        <w:rPr>
          <w:rFonts w:ascii="Arial" w:hAnsi="Arial" w:cs="Arial"/>
          <w:sz w:val="24"/>
          <w:szCs w:val="24"/>
        </w:rPr>
        <w:t>The broad areas will be split into smaller sites, using defined physical feature such as roads, railways, watercourses, tree belts, woodlands, ridgelines or field boundaries to determine suitable sites for assessment</w:t>
      </w:r>
      <w:r>
        <w:rPr>
          <w:rFonts w:ascii="Arial" w:hAnsi="Arial" w:cs="Arial"/>
          <w:sz w:val="24"/>
          <w:szCs w:val="24"/>
        </w:rPr>
        <w:t xml:space="preserve"> </w:t>
      </w:r>
      <w:r>
        <w:rPr>
          <w:rFonts w:ascii="Arial" w:hAnsi="Arial" w:cs="Arial"/>
          <w:sz w:val="24"/>
          <w:szCs w:val="24"/>
        </w:rPr>
        <w:lastRenderedPageBreak/>
        <w:t>and accord with NPPF paragraph 149 (f)</w:t>
      </w:r>
      <w:r w:rsidRPr="00AF633F">
        <w:rPr>
          <w:rFonts w:ascii="Arial" w:hAnsi="Arial" w:cs="Arial"/>
          <w:sz w:val="24"/>
          <w:szCs w:val="24"/>
        </w:rPr>
        <w:t>. This will be done in the first instance using Ordnance Survey maps, topographical maps, aerial photographs and professional judgement.</w:t>
      </w:r>
    </w:p>
    <w:p w14:paraId="0528B9DA" w14:textId="36D4F02A" w:rsidR="00B56806" w:rsidRDefault="00B56806" w:rsidP="00B56806">
      <w:pPr>
        <w:ind w:left="1134" w:hanging="425"/>
        <w:rPr>
          <w:rFonts w:ascii="Arial" w:hAnsi="Arial" w:cs="Arial"/>
          <w:sz w:val="24"/>
          <w:szCs w:val="24"/>
        </w:rPr>
      </w:pPr>
      <w:r>
        <w:rPr>
          <w:rFonts w:ascii="Arial" w:hAnsi="Arial" w:cs="Arial"/>
          <w:sz w:val="24"/>
          <w:szCs w:val="24"/>
        </w:rPr>
        <w:t>b)</w:t>
      </w:r>
      <w:r>
        <w:rPr>
          <w:rFonts w:ascii="Arial" w:hAnsi="Arial" w:cs="Arial"/>
          <w:sz w:val="24"/>
          <w:szCs w:val="24"/>
        </w:rPr>
        <w:tab/>
      </w:r>
      <w:r w:rsidRPr="00AF633F">
        <w:rPr>
          <w:rFonts w:ascii="Arial" w:hAnsi="Arial" w:cs="Arial"/>
          <w:sz w:val="24"/>
          <w:szCs w:val="24"/>
        </w:rPr>
        <w:t xml:space="preserve">Specific sites identified through the Strategic Housing Land Availability </w:t>
      </w:r>
      <w:r>
        <w:rPr>
          <w:rFonts w:ascii="Arial" w:hAnsi="Arial" w:cs="Arial"/>
          <w:sz w:val="24"/>
          <w:szCs w:val="24"/>
        </w:rPr>
        <w:t>A</w:t>
      </w:r>
      <w:r w:rsidRPr="00AF633F">
        <w:rPr>
          <w:rFonts w:ascii="Arial" w:hAnsi="Arial" w:cs="Arial"/>
          <w:sz w:val="24"/>
          <w:szCs w:val="24"/>
        </w:rPr>
        <w:t xml:space="preserve">ssessment (SHLAA) process will be assessed, </w:t>
      </w:r>
      <w:r>
        <w:rPr>
          <w:rFonts w:ascii="Arial" w:hAnsi="Arial" w:cs="Arial"/>
          <w:sz w:val="24"/>
          <w:szCs w:val="24"/>
        </w:rPr>
        <w:t xml:space="preserve">based on a minimum size threshold of 0.5 hectares or 10 dwellings.  This definition reflects the threshold for site allocation used by </w:t>
      </w:r>
      <w:proofErr w:type="gramStart"/>
      <w:r>
        <w:rPr>
          <w:rFonts w:ascii="Arial" w:hAnsi="Arial" w:cs="Arial"/>
          <w:sz w:val="24"/>
          <w:szCs w:val="24"/>
        </w:rPr>
        <w:t>the majority of</w:t>
      </w:r>
      <w:proofErr w:type="gramEnd"/>
      <w:r>
        <w:rPr>
          <w:rFonts w:ascii="Arial" w:hAnsi="Arial" w:cs="Arial"/>
          <w:sz w:val="24"/>
          <w:szCs w:val="24"/>
        </w:rPr>
        <w:t xml:space="preserve"> the participating authorities </w:t>
      </w:r>
      <w:proofErr w:type="gramStart"/>
      <w:r>
        <w:rPr>
          <w:rFonts w:ascii="Arial" w:hAnsi="Arial" w:cs="Arial"/>
          <w:sz w:val="24"/>
          <w:szCs w:val="24"/>
        </w:rPr>
        <w:t>and also</w:t>
      </w:r>
      <w:proofErr w:type="gramEnd"/>
      <w:r>
        <w:rPr>
          <w:rFonts w:ascii="Arial" w:hAnsi="Arial" w:cs="Arial"/>
          <w:sz w:val="24"/>
          <w:szCs w:val="24"/>
        </w:rPr>
        <w:t xml:space="preserve"> reflects the definition of ‘major development’.</w:t>
      </w:r>
    </w:p>
    <w:p w14:paraId="49A79038" w14:textId="03574AE8" w:rsidR="003C0E04" w:rsidRDefault="003C0E04" w:rsidP="003C0E04">
      <w:pPr>
        <w:ind w:left="709" w:hanging="709"/>
        <w:rPr>
          <w:rFonts w:ascii="Arial" w:hAnsi="Arial" w:cs="Arial"/>
          <w:sz w:val="24"/>
          <w:szCs w:val="24"/>
        </w:rPr>
      </w:pPr>
      <w:r>
        <w:rPr>
          <w:rFonts w:ascii="Arial" w:hAnsi="Arial" w:cs="Arial"/>
          <w:sz w:val="24"/>
          <w:szCs w:val="24"/>
        </w:rPr>
        <w:t>5.7</w:t>
      </w:r>
      <w:r>
        <w:rPr>
          <w:rFonts w:ascii="Arial" w:hAnsi="Arial" w:cs="Arial"/>
          <w:sz w:val="24"/>
          <w:szCs w:val="24"/>
        </w:rPr>
        <w:tab/>
        <w:t>The reasons for screening out a broad area might be</w:t>
      </w:r>
      <w:r w:rsidRPr="00AF633F">
        <w:rPr>
          <w:rFonts w:ascii="Arial" w:hAnsi="Arial" w:cs="Arial"/>
          <w:sz w:val="24"/>
          <w:szCs w:val="24"/>
        </w:rPr>
        <w:t xml:space="preserve"> because the whole area is of particularly high Green Belt importance, or because </w:t>
      </w:r>
      <w:r>
        <w:rPr>
          <w:rFonts w:ascii="Arial" w:hAnsi="Arial" w:cs="Arial"/>
          <w:sz w:val="24"/>
          <w:szCs w:val="24"/>
        </w:rPr>
        <w:t xml:space="preserve">boundaries cannot be clearly defined, using physical features that are readily recognisable and likely to be permanent </w:t>
      </w:r>
      <w:r w:rsidRPr="00AF633F">
        <w:rPr>
          <w:rFonts w:ascii="Arial" w:hAnsi="Arial" w:cs="Arial"/>
          <w:sz w:val="24"/>
          <w:szCs w:val="24"/>
        </w:rPr>
        <w:t>which would allow for part/all of the area to be removed without significant detriment to the overall purposes of the Green Belt.</w:t>
      </w:r>
    </w:p>
    <w:p w14:paraId="68B8B4E4" w14:textId="5A48C154" w:rsidR="003C0E04" w:rsidRPr="00AF633F" w:rsidRDefault="003C0E04" w:rsidP="003C0E04">
      <w:pPr>
        <w:ind w:left="709" w:hanging="709"/>
        <w:rPr>
          <w:rFonts w:ascii="Arial" w:hAnsi="Arial" w:cs="Arial"/>
          <w:sz w:val="24"/>
          <w:szCs w:val="24"/>
        </w:rPr>
      </w:pPr>
      <w:r>
        <w:rPr>
          <w:rFonts w:ascii="Arial" w:hAnsi="Arial" w:cs="Arial"/>
          <w:sz w:val="24"/>
          <w:szCs w:val="24"/>
        </w:rPr>
        <w:t>5.8</w:t>
      </w:r>
      <w:r>
        <w:rPr>
          <w:rFonts w:ascii="Arial" w:hAnsi="Arial" w:cs="Arial"/>
          <w:sz w:val="24"/>
          <w:szCs w:val="24"/>
        </w:rPr>
        <w:tab/>
        <w:t>The following steps will be followed for</w:t>
      </w:r>
      <w:r w:rsidR="00C35532">
        <w:rPr>
          <w:rFonts w:ascii="Arial" w:hAnsi="Arial" w:cs="Arial"/>
          <w:sz w:val="24"/>
          <w:szCs w:val="24"/>
        </w:rPr>
        <w:t>,</w:t>
      </w:r>
      <w:r>
        <w:rPr>
          <w:rFonts w:ascii="Arial" w:hAnsi="Arial" w:cs="Arial"/>
          <w:sz w:val="24"/>
          <w:szCs w:val="24"/>
        </w:rPr>
        <w:t xml:space="preserve"> firstly</w:t>
      </w:r>
      <w:r w:rsidR="00C35532">
        <w:rPr>
          <w:rFonts w:ascii="Arial" w:hAnsi="Arial" w:cs="Arial"/>
          <w:sz w:val="24"/>
          <w:szCs w:val="24"/>
        </w:rPr>
        <w:t>,</w:t>
      </w:r>
      <w:r>
        <w:rPr>
          <w:rFonts w:ascii="Arial" w:hAnsi="Arial" w:cs="Arial"/>
          <w:sz w:val="24"/>
          <w:szCs w:val="24"/>
        </w:rPr>
        <w:t xml:space="preserve"> broad area</w:t>
      </w:r>
      <w:r w:rsidR="00C35532">
        <w:rPr>
          <w:rFonts w:ascii="Arial" w:hAnsi="Arial" w:cs="Arial"/>
          <w:sz w:val="24"/>
          <w:szCs w:val="24"/>
        </w:rPr>
        <w:t>s</w:t>
      </w:r>
      <w:r>
        <w:rPr>
          <w:rFonts w:ascii="Arial" w:hAnsi="Arial" w:cs="Arial"/>
          <w:sz w:val="24"/>
          <w:szCs w:val="24"/>
        </w:rPr>
        <w:t xml:space="preserve"> and then smaller sites.</w:t>
      </w:r>
    </w:p>
    <w:p w14:paraId="04498D56" w14:textId="77777777" w:rsidR="00B56806" w:rsidRDefault="00B56806" w:rsidP="00832A68">
      <w:pPr>
        <w:shd w:val="clear" w:color="auto" w:fill="FFFFFF"/>
        <w:spacing w:after="150" w:line="240" w:lineRule="auto"/>
        <w:rPr>
          <w:rFonts w:ascii="Arial" w:eastAsia="Times New Roman" w:hAnsi="Arial" w:cs="Arial"/>
          <w:b/>
          <w:bCs/>
          <w:color w:val="0B0C0C"/>
          <w:kern w:val="0"/>
          <w:sz w:val="24"/>
          <w:szCs w:val="24"/>
          <w:u w:val="single"/>
          <w:lang w:eastAsia="en-GB"/>
          <w14:ligatures w14:val="none"/>
        </w:rPr>
      </w:pPr>
    </w:p>
    <w:p w14:paraId="13FCE396" w14:textId="5FEF8EE3" w:rsidR="00832A68" w:rsidRPr="00303776" w:rsidRDefault="00832A68" w:rsidP="00832A68">
      <w:pPr>
        <w:shd w:val="clear" w:color="auto" w:fill="FFFFFF"/>
        <w:spacing w:after="150" w:line="240" w:lineRule="auto"/>
        <w:rPr>
          <w:rFonts w:ascii="Arial" w:eastAsia="Times New Roman" w:hAnsi="Arial" w:cs="Arial"/>
          <w:b/>
          <w:bCs/>
          <w:color w:val="0B0C0C"/>
          <w:kern w:val="0"/>
          <w:sz w:val="24"/>
          <w:szCs w:val="24"/>
          <w:u w:val="single"/>
          <w:lang w:eastAsia="en-GB"/>
          <w14:ligatures w14:val="none"/>
        </w:rPr>
      </w:pPr>
      <w:r w:rsidRPr="00303776">
        <w:rPr>
          <w:rFonts w:ascii="Arial" w:eastAsia="Times New Roman" w:hAnsi="Arial" w:cs="Arial"/>
          <w:b/>
          <w:bCs/>
          <w:color w:val="0B0C0C"/>
          <w:kern w:val="0"/>
          <w:sz w:val="24"/>
          <w:szCs w:val="24"/>
          <w:u w:val="single"/>
          <w:lang w:eastAsia="en-GB"/>
          <w14:ligatures w14:val="none"/>
        </w:rPr>
        <w:t>Step 2 - evaluate the contribution each assessment area makes to Green Belt purposes (</w:t>
      </w:r>
      <w:r>
        <w:rPr>
          <w:rFonts w:ascii="Arial" w:eastAsia="Times New Roman" w:hAnsi="Arial" w:cs="Arial"/>
          <w:b/>
          <w:bCs/>
          <w:color w:val="0B0C0C"/>
          <w:kern w:val="0"/>
          <w:sz w:val="24"/>
          <w:szCs w:val="24"/>
          <w:u w:val="single"/>
          <w:lang w:eastAsia="en-GB"/>
          <w14:ligatures w14:val="none"/>
        </w:rPr>
        <w:t>a), (b) and (d)</w:t>
      </w:r>
    </w:p>
    <w:p w14:paraId="4EB4DF99" w14:textId="77647D8E" w:rsidR="003C0E04" w:rsidRPr="003C0E04" w:rsidRDefault="00CA038A" w:rsidP="003C0E04">
      <w:pPr>
        <w:pStyle w:val="ListParagraph"/>
        <w:numPr>
          <w:ilvl w:val="1"/>
          <w:numId w:val="28"/>
        </w:numPr>
        <w:ind w:left="709" w:hanging="709"/>
        <w:rPr>
          <w:rFonts w:ascii="Arial" w:hAnsi="Arial" w:cs="Arial"/>
          <w:sz w:val="24"/>
          <w:szCs w:val="24"/>
        </w:rPr>
      </w:pPr>
      <w:r w:rsidRPr="003C0E04">
        <w:rPr>
          <w:rFonts w:ascii="Arial" w:eastAsia="Times New Roman" w:hAnsi="Arial" w:cs="Arial"/>
          <w:color w:val="0B0C0C"/>
          <w:kern w:val="0"/>
          <w:sz w:val="24"/>
          <w:szCs w:val="24"/>
          <w:lang w:eastAsia="en-GB"/>
          <w14:ligatures w14:val="none"/>
        </w:rPr>
        <w:t>T</w:t>
      </w:r>
      <w:r w:rsidR="00832A68" w:rsidRPr="003C0E04">
        <w:rPr>
          <w:rFonts w:ascii="Arial" w:eastAsia="Times New Roman" w:hAnsi="Arial" w:cs="Arial"/>
          <w:color w:val="0B0C0C"/>
          <w:kern w:val="0"/>
          <w:sz w:val="24"/>
          <w:szCs w:val="24"/>
          <w:lang w:eastAsia="en-GB"/>
          <w14:ligatures w14:val="none"/>
        </w:rPr>
        <w:t>he contribution that each assessment area makes to purposes (a), (b) and (d) will be considered against the Assessment Matrix</w:t>
      </w:r>
      <w:r w:rsidR="00731192" w:rsidRPr="003C0E04">
        <w:rPr>
          <w:rFonts w:ascii="Arial" w:eastAsia="Times New Roman" w:hAnsi="Arial" w:cs="Arial"/>
          <w:color w:val="0B0C0C"/>
          <w:kern w:val="0"/>
          <w:sz w:val="24"/>
          <w:szCs w:val="24"/>
          <w:lang w:eastAsia="en-GB"/>
          <w14:ligatures w14:val="none"/>
        </w:rPr>
        <w:t xml:space="preserve"> attached at </w:t>
      </w:r>
      <w:r w:rsidR="00731192" w:rsidRPr="003C0E04">
        <w:rPr>
          <w:rFonts w:ascii="Arial" w:eastAsia="Times New Roman" w:hAnsi="Arial" w:cs="Arial"/>
          <w:b/>
          <w:bCs/>
          <w:color w:val="0B0C0C"/>
          <w:kern w:val="0"/>
          <w:sz w:val="24"/>
          <w:szCs w:val="24"/>
          <w:lang w:eastAsia="en-GB"/>
          <w14:ligatures w14:val="none"/>
        </w:rPr>
        <w:t>Appendix 2</w:t>
      </w:r>
      <w:r w:rsidRPr="003C0E04">
        <w:rPr>
          <w:rFonts w:ascii="Arial" w:eastAsia="Times New Roman" w:hAnsi="Arial" w:cs="Arial"/>
          <w:color w:val="0B0C0C"/>
          <w:kern w:val="0"/>
          <w:sz w:val="24"/>
          <w:szCs w:val="24"/>
          <w:lang w:eastAsia="en-GB"/>
          <w14:ligatures w14:val="none"/>
        </w:rPr>
        <w:t xml:space="preserve"> </w:t>
      </w:r>
      <w:proofErr w:type="gramStart"/>
      <w:r w:rsidR="00832A68" w:rsidRPr="003C0E04">
        <w:rPr>
          <w:rFonts w:ascii="Arial" w:eastAsia="Times New Roman" w:hAnsi="Arial" w:cs="Arial"/>
          <w:color w:val="0B0C0C"/>
          <w:kern w:val="0"/>
          <w:sz w:val="24"/>
          <w:szCs w:val="24"/>
          <w:lang w:eastAsia="en-GB"/>
          <w14:ligatures w14:val="none"/>
        </w:rPr>
        <w:t>in order to</w:t>
      </w:r>
      <w:proofErr w:type="gramEnd"/>
      <w:r w:rsidR="00832A68" w:rsidRPr="003C0E04">
        <w:rPr>
          <w:rFonts w:ascii="Arial" w:eastAsia="Times New Roman" w:hAnsi="Arial" w:cs="Arial"/>
          <w:color w:val="0B0C0C"/>
          <w:kern w:val="0"/>
          <w:sz w:val="24"/>
          <w:szCs w:val="24"/>
          <w:lang w:eastAsia="en-GB"/>
          <w14:ligatures w14:val="none"/>
        </w:rPr>
        <w:t xml:space="preserve"> </w:t>
      </w:r>
      <w:r w:rsidRPr="003C0E04">
        <w:rPr>
          <w:rFonts w:ascii="Arial" w:eastAsia="Times New Roman" w:hAnsi="Arial" w:cs="Arial"/>
          <w:color w:val="0B0C0C"/>
          <w:kern w:val="0"/>
          <w:sz w:val="24"/>
          <w:szCs w:val="24"/>
          <w:lang w:eastAsia="en-GB"/>
          <w14:ligatures w14:val="none"/>
        </w:rPr>
        <w:t>understand whether the area makes a strong, moderate or weak contribution to each purpose.</w:t>
      </w:r>
      <w:r w:rsidR="00832A68" w:rsidRPr="003C0E04">
        <w:rPr>
          <w:rFonts w:ascii="Arial" w:eastAsia="Times New Roman" w:hAnsi="Arial" w:cs="Arial"/>
          <w:color w:val="0B0C0C"/>
          <w:kern w:val="0"/>
          <w:sz w:val="24"/>
          <w:szCs w:val="24"/>
          <w:lang w:eastAsia="en-GB"/>
          <w14:ligatures w14:val="none"/>
        </w:rPr>
        <w:t xml:space="preserve">  Where necessary, the assessments will be made using Ordnance Survey maps, topographical maps, aerial photographs, professional judgment and site visits.  </w:t>
      </w:r>
    </w:p>
    <w:p w14:paraId="1A6800B3" w14:textId="059044A4" w:rsidR="00731192" w:rsidRPr="003C0E04" w:rsidRDefault="003C0E04" w:rsidP="003C0E04">
      <w:pPr>
        <w:ind w:left="709" w:hanging="709"/>
        <w:rPr>
          <w:rFonts w:ascii="Arial" w:hAnsi="Arial" w:cs="Arial"/>
          <w:sz w:val="24"/>
          <w:szCs w:val="24"/>
        </w:rPr>
      </w:pPr>
      <w:r>
        <w:rPr>
          <w:rFonts w:ascii="Arial" w:eastAsia="Times New Roman" w:hAnsi="Arial" w:cs="Arial"/>
          <w:color w:val="0B0C0C"/>
          <w:kern w:val="0"/>
          <w:sz w:val="24"/>
          <w:szCs w:val="24"/>
          <w:lang w:eastAsia="en-GB"/>
          <w14:ligatures w14:val="none"/>
        </w:rPr>
        <w:t>5.10</w:t>
      </w:r>
      <w:r>
        <w:rPr>
          <w:rFonts w:ascii="Arial" w:eastAsia="Times New Roman" w:hAnsi="Arial" w:cs="Arial"/>
          <w:color w:val="0B0C0C"/>
          <w:kern w:val="0"/>
          <w:sz w:val="24"/>
          <w:szCs w:val="24"/>
          <w:lang w:eastAsia="en-GB"/>
          <w14:ligatures w14:val="none"/>
        </w:rPr>
        <w:tab/>
      </w:r>
      <w:r>
        <w:rPr>
          <w:rFonts w:ascii="Arial" w:eastAsia="Times New Roman" w:hAnsi="Arial" w:cs="Arial"/>
          <w:color w:val="0B0C0C"/>
          <w:kern w:val="0"/>
          <w:sz w:val="24"/>
          <w:szCs w:val="24"/>
          <w:lang w:eastAsia="en-GB"/>
          <w14:ligatures w14:val="none"/>
        </w:rPr>
        <w:tab/>
      </w:r>
      <w:r w:rsidR="00832A68" w:rsidRPr="003C0E04">
        <w:rPr>
          <w:rFonts w:ascii="Arial" w:eastAsia="Times New Roman" w:hAnsi="Arial" w:cs="Arial"/>
          <w:color w:val="0B0C0C"/>
          <w:kern w:val="0"/>
          <w:sz w:val="24"/>
          <w:szCs w:val="24"/>
          <w:lang w:eastAsia="en-GB"/>
          <w14:ligatures w14:val="none"/>
        </w:rPr>
        <w:t xml:space="preserve">When using the Assessment Matrix, a consistent approach will be taken to the following definitions which will be incorporated into emerging Local </w:t>
      </w:r>
      <w:proofErr w:type="gramStart"/>
      <w:r w:rsidR="00832A68" w:rsidRPr="003C0E04">
        <w:rPr>
          <w:rFonts w:ascii="Arial" w:eastAsia="Times New Roman" w:hAnsi="Arial" w:cs="Arial"/>
          <w:color w:val="0B0C0C"/>
          <w:kern w:val="0"/>
          <w:sz w:val="24"/>
          <w:szCs w:val="24"/>
          <w:lang w:eastAsia="en-GB"/>
          <w14:ligatures w14:val="none"/>
        </w:rPr>
        <w:t>Plans:-</w:t>
      </w:r>
      <w:proofErr w:type="gramEnd"/>
    </w:p>
    <w:p w14:paraId="52EA9C1B" w14:textId="77777777" w:rsidR="003C0E04" w:rsidRDefault="00832A68" w:rsidP="003C0E04">
      <w:pPr>
        <w:pStyle w:val="ListParagraph"/>
        <w:numPr>
          <w:ilvl w:val="0"/>
          <w:numId w:val="26"/>
        </w:numPr>
        <w:ind w:left="1134" w:hanging="425"/>
        <w:rPr>
          <w:rFonts w:ascii="Arial" w:eastAsia="Times New Roman" w:hAnsi="Arial" w:cs="Arial"/>
          <w:color w:val="0B0C0C"/>
          <w:kern w:val="0"/>
          <w:sz w:val="24"/>
          <w:szCs w:val="24"/>
          <w:lang w:eastAsia="en-GB"/>
          <w14:ligatures w14:val="none"/>
        </w:rPr>
      </w:pPr>
      <w:r w:rsidRPr="003C0E04">
        <w:rPr>
          <w:rFonts w:ascii="Arial" w:eastAsia="Times New Roman" w:hAnsi="Arial" w:cs="Arial"/>
          <w:color w:val="0B0C0C"/>
          <w:kern w:val="0"/>
          <w:sz w:val="24"/>
          <w:szCs w:val="24"/>
          <w:lang w:eastAsia="en-GB"/>
          <w14:ligatures w14:val="none"/>
        </w:rPr>
        <w:t>‘</w:t>
      </w:r>
      <w:bookmarkStart w:id="4" w:name="_Hlk203749749"/>
      <w:proofErr w:type="gramStart"/>
      <w:r w:rsidRPr="003C0E04">
        <w:rPr>
          <w:rFonts w:ascii="Arial" w:eastAsia="Times New Roman" w:hAnsi="Arial" w:cs="Arial"/>
          <w:color w:val="0B0C0C"/>
          <w:kern w:val="0"/>
          <w:sz w:val="24"/>
          <w:szCs w:val="24"/>
          <w:lang w:eastAsia="en-GB"/>
          <w14:ligatures w14:val="none"/>
        </w:rPr>
        <w:t>large</w:t>
      </w:r>
      <w:proofErr w:type="gramEnd"/>
      <w:r w:rsidRPr="003C0E04">
        <w:rPr>
          <w:rFonts w:ascii="Arial" w:eastAsia="Times New Roman" w:hAnsi="Arial" w:cs="Arial"/>
          <w:color w:val="0B0C0C"/>
          <w:kern w:val="0"/>
          <w:sz w:val="24"/>
          <w:szCs w:val="24"/>
          <w:lang w:eastAsia="en-GB"/>
          <w14:ligatures w14:val="none"/>
        </w:rPr>
        <w:t xml:space="preserve"> built up areas’ – to include the main </w:t>
      </w:r>
      <w:proofErr w:type="gramStart"/>
      <w:r w:rsidRPr="003C0E04">
        <w:rPr>
          <w:rFonts w:ascii="Arial" w:eastAsia="Times New Roman" w:hAnsi="Arial" w:cs="Arial"/>
          <w:color w:val="0B0C0C"/>
          <w:kern w:val="0"/>
          <w:sz w:val="24"/>
          <w:szCs w:val="24"/>
          <w:lang w:eastAsia="en-GB"/>
          <w14:ligatures w14:val="none"/>
        </w:rPr>
        <w:t>built up</w:t>
      </w:r>
      <w:proofErr w:type="gramEnd"/>
      <w:r w:rsidRPr="003C0E04">
        <w:rPr>
          <w:rFonts w:ascii="Arial" w:eastAsia="Times New Roman" w:hAnsi="Arial" w:cs="Arial"/>
          <w:color w:val="0B0C0C"/>
          <w:kern w:val="0"/>
          <w:sz w:val="24"/>
          <w:szCs w:val="24"/>
          <w:lang w:eastAsia="en-GB"/>
          <w14:ligatures w14:val="none"/>
        </w:rPr>
        <w:t xml:space="preserve"> area of Nottingham (as defined in the Greater Nottingham Strategic Plan), sub regional centres and towns.</w:t>
      </w:r>
    </w:p>
    <w:p w14:paraId="3DF2F9F3" w14:textId="77777777" w:rsidR="003C0E04" w:rsidRDefault="00832A68" w:rsidP="003C0E04">
      <w:pPr>
        <w:pStyle w:val="ListParagraph"/>
        <w:numPr>
          <w:ilvl w:val="0"/>
          <w:numId w:val="26"/>
        </w:numPr>
        <w:ind w:left="1134" w:hanging="425"/>
        <w:rPr>
          <w:rFonts w:ascii="Arial" w:eastAsia="Times New Roman" w:hAnsi="Arial" w:cs="Arial"/>
          <w:color w:val="0B0C0C"/>
          <w:kern w:val="0"/>
          <w:sz w:val="24"/>
          <w:szCs w:val="24"/>
          <w:lang w:eastAsia="en-GB"/>
          <w14:ligatures w14:val="none"/>
        </w:rPr>
      </w:pPr>
      <w:r w:rsidRPr="003C0E04">
        <w:rPr>
          <w:rFonts w:ascii="Arial" w:eastAsia="Times New Roman" w:hAnsi="Arial" w:cs="Arial"/>
          <w:color w:val="0B0C0C"/>
          <w:kern w:val="0"/>
          <w:sz w:val="24"/>
          <w:szCs w:val="24"/>
          <w:lang w:eastAsia="en-GB"/>
          <w14:ligatures w14:val="none"/>
        </w:rPr>
        <w:t xml:space="preserve">‘towns’ – to be defined by each Council, but likely to include key settlements as defined in local plans and Main Urban Areas (as defined in the Ashfield Local Plan).  </w:t>
      </w:r>
    </w:p>
    <w:p w14:paraId="64F87091" w14:textId="0A654735" w:rsidR="00541852" w:rsidRDefault="00832A68" w:rsidP="003C0E04">
      <w:pPr>
        <w:pStyle w:val="ListParagraph"/>
        <w:numPr>
          <w:ilvl w:val="0"/>
          <w:numId w:val="26"/>
        </w:numPr>
        <w:ind w:left="1134" w:hanging="425"/>
        <w:rPr>
          <w:rFonts w:ascii="Arial" w:eastAsia="Times New Roman" w:hAnsi="Arial" w:cs="Arial"/>
          <w:color w:val="0B0C0C"/>
          <w:kern w:val="0"/>
          <w:sz w:val="24"/>
          <w:szCs w:val="24"/>
          <w:lang w:eastAsia="en-GB"/>
          <w14:ligatures w14:val="none"/>
        </w:rPr>
      </w:pPr>
      <w:r w:rsidRPr="003C0E04">
        <w:rPr>
          <w:rFonts w:ascii="Arial" w:eastAsia="Times New Roman" w:hAnsi="Arial" w:cs="Arial"/>
          <w:color w:val="0B0C0C"/>
          <w:kern w:val="0"/>
          <w:sz w:val="24"/>
          <w:szCs w:val="24"/>
          <w:lang w:eastAsia="en-GB"/>
          <w14:ligatures w14:val="none"/>
        </w:rPr>
        <w:t>‘</w:t>
      </w:r>
      <w:proofErr w:type="gramStart"/>
      <w:r w:rsidRPr="003C0E04">
        <w:rPr>
          <w:rFonts w:ascii="Arial" w:eastAsia="Times New Roman" w:hAnsi="Arial" w:cs="Arial"/>
          <w:color w:val="0B0C0C"/>
          <w:kern w:val="0"/>
          <w:sz w:val="24"/>
          <w:szCs w:val="24"/>
          <w:lang w:eastAsia="en-GB"/>
          <w14:ligatures w14:val="none"/>
        </w:rPr>
        <w:t>historic</w:t>
      </w:r>
      <w:proofErr w:type="gramEnd"/>
      <w:r w:rsidRPr="003C0E04">
        <w:rPr>
          <w:rFonts w:ascii="Arial" w:eastAsia="Times New Roman" w:hAnsi="Arial" w:cs="Arial"/>
          <w:color w:val="0B0C0C"/>
          <w:kern w:val="0"/>
          <w:sz w:val="24"/>
          <w:szCs w:val="24"/>
          <w:lang w:eastAsia="en-GB"/>
          <w14:ligatures w14:val="none"/>
        </w:rPr>
        <w:t xml:space="preserve"> towns’ – to be defined by each Council, but it is noted that historic villages will be excluded from this definition.</w:t>
      </w:r>
    </w:p>
    <w:p w14:paraId="712BD5EB" w14:textId="77777777" w:rsidR="001A1206" w:rsidRPr="001A1206" w:rsidRDefault="001A1206" w:rsidP="001A1206">
      <w:pPr>
        <w:ind w:left="709"/>
        <w:rPr>
          <w:rFonts w:ascii="Arial" w:eastAsia="Times New Roman" w:hAnsi="Arial" w:cs="Arial"/>
          <w:color w:val="0B0C0C"/>
          <w:kern w:val="0"/>
          <w:sz w:val="24"/>
          <w:szCs w:val="24"/>
          <w:lang w:eastAsia="en-GB"/>
          <w14:ligatures w14:val="none"/>
        </w:rPr>
      </w:pPr>
    </w:p>
    <w:bookmarkEnd w:id="4"/>
    <w:p w14:paraId="5EFF435B" w14:textId="0E854FA6" w:rsidR="00067A40" w:rsidRPr="00303776" w:rsidRDefault="00A16076" w:rsidP="00067A40">
      <w:pPr>
        <w:shd w:val="clear" w:color="auto" w:fill="FFFFFF"/>
        <w:spacing w:after="150" w:line="240" w:lineRule="auto"/>
        <w:rPr>
          <w:rFonts w:ascii="Arial" w:eastAsia="Times New Roman" w:hAnsi="Arial" w:cs="Arial"/>
          <w:b/>
          <w:bCs/>
          <w:color w:val="0B0C0C"/>
          <w:kern w:val="0"/>
          <w:sz w:val="24"/>
          <w:szCs w:val="24"/>
          <w:u w:val="single"/>
          <w:lang w:eastAsia="en-GB"/>
          <w14:ligatures w14:val="none"/>
        </w:rPr>
      </w:pPr>
      <w:r w:rsidRPr="00303776">
        <w:rPr>
          <w:rFonts w:ascii="Arial" w:eastAsia="Times New Roman" w:hAnsi="Arial" w:cs="Arial"/>
          <w:b/>
          <w:bCs/>
          <w:color w:val="0B0C0C"/>
          <w:kern w:val="0"/>
          <w:sz w:val="24"/>
          <w:szCs w:val="24"/>
          <w:u w:val="single"/>
          <w:lang w:eastAsia="en-GB"/>
          <w14:ligatures w14:val="none"/>
        </w:rPr>
        <w:t>Step</w:t>
      </w:r>
      <w:r w:rsidR="004A3BAF" w:rsidRPr="00303776">
        <w:rPr>
          <w:rFonts w:ascii="Arial" w:eastAsia="Times New Roman" w:hAnsi="Arial" w:cs="Arial"/>
          <w:b/>
          <w:bCs/>
          <w:color w:val="0B0C0C"/>
          <w:kern w:val="0"/>
          <w:sz w:val="24"/>
          <w:szCs w:val="24"/>
          <w:u w:val="single"/>
          <w:lang w:eastAsia="en-GB"/>
          <w14:ligatures w14:val="none"/>
        </w:rPr>
        <w:t xml:space="preserve"> </w:t>
      </w:r>
      <w:r w:rsidRPr="00303776">
        <w:rPr>
          <w:rFonts w:ascii="Arial" w:eastAsia="Times New Roman" w:hAnsi="Arial" w:cs="Arial"/>
          <w:b/>
          <w:bCs/>
          <w:color w:val="0B0C0C"/>
          <w:kern w:val="0"/>
          <w:sz w:val="24"/>
          <w:szCs w:val="24"/>
          <w:u w:val="single"/>
          <w:lang w:eastAsia="en-GB"/>
          <w14:ligatures w14:val="none"/>
        </w:rPr>
        <w:t>3</w:t>
      </w:r>
      <w:r w:rsidR="00067A40" w:rsidRPr="00303776">
        <w:rPr>
          <w:rFonts w:ascii="Arial" w:eastAsia="Times New Roman" w:hAnsi="Arial" w:cs="Arial"/>
          <w:b/>
          <w:bCs/>
          <w:color w:val="0B0C0C"/>
          <w:kern w:val="0"/>
          <w:sz w:val="24"/>
          <w:szCs w:val="24"/>
          <w:u w:val="single"/>
          <w:lang w:eastAsia="en-GB"/>
          <w14:ligatures w14:val="none"/>
        </w:rPr>
        <w:t xml:space="preserve"> - consider whether applying the policies relating to the areas or assets of particular importance in </w:t>
      </w:r>
      <w:hyperlink r:id="rId29" w:anchor="footnote7" w:history="1">
        <w:r w:rsidR="00067A40" w:rsidRPr="00D04589">
          <w:rPr>
            <w:rFonts w:ascii="Arial" w:eastAsia="Times New Roman" w:hAnsi="Arial" w:cs="Arial"/>
            <w:b/>
            <w:bCs/>
            <w:color w:val="1D70B8"/>
            <w:kern w:val="0"/>
            <w:sz w:val="24"/>
            <w:szCs w:val="24"/>
            <w:u w:val="single"/>
            <w:lang w:eastAsia="en-GB"/>
            <w14:ligatures w14:val="none"/>
          </w:rPr>
          <w:t>footnote 7 to the NPPF</w:t>
        </w:r>
      </w:hyperlink>
      <w:r w:rsidR="00067A40" w:rsidRPr="00303776">
        <w:rPr>
          <w:rFonts w:ascii="Arial" w:eastAsia="Times New Roman" w:hAnsi="Arial" w:cs="Arial"/>
          <w:b/>
          <w:bCs/>
          <w:color w:val="0B0C0C"/>
          <w:kern w:val="0"/>
          <w:sz w:val="24"/>
          <w:szCs w:val="24"/>
          <w:u w:val="single"/>
          <w:lang w:eastAsia="en-GB"/>
          <w14:ligatures w14:val="none"/>
        </w:rPr>
        <w:t xml:space="preserve"> (other than Green Belt) </w:t>
      </w:r>
      <w:r w:rsidR="00067A40" w:rsidRPr="00303776">
        <w:rPr>
          <w:rFonts w:ascii="Arial" w:eastAsia="Times New Roman" w:hAnsi="Arial" w:cs="Arial"/>
          <w:b/>
          <w:bCs/>
          <w:color w:val="0B0C0C"/>
          <w:kern w:val="0"/>
          <w:sz w:val="24"/>
          <w:szCs w:val="24"/>
          <w:u w:val="single"/>
          <w:lang w:eastAsia="en-GB"/>
          <w14:ligatures w14:val="none"/>
        </w:rPr>
        <w:lastRenderedPageBreak/>
        <w:t>would potentially provide a strong reason for refusing or restricting development of the assessment area</w:t>
      </w:r>
    </w:p>
    <w:p w14:paraId="04738A4A" w14:textId="1442F2B9" w:rsidR="003C0E04" w:rsidRDefault="00627A4D" w:rsidP="00AD2CFB">
      <w:pPr>
        <w:pStyle w:val="ListParagraph"/>
        <w:numPr>
          <w:ilvl w:val="1"/>
          <w:numId w:val="29"/>
        </w:numPr>
        <w:shd w:val="clear" w:color="auto" w:fill="FFFFFF"/>
        <w:spacing w:after="150" w:line="240" w:lineRule="auto"/>
        <w:ind w:left="709" w:hanging="709"/>
        <w:rPr>
          <w:rFonts w:ascii="Arial" w:eastAsia="Times New Roman" w:hAnsi="Arial" w:cs="Arial"/>
          <w:color w:val="0B0C0C"/>
          <w:kern w:val="0"/>
          <w:sz w:val="24"/>
          <w:szCs w:val="24"/>
          <w:lang w:eastAsia="en-GB"/>
          <w14:ligatures w14:val="none"/>
        </w:rPr>
      </w:pPr>
      <w:r w:rsidRPr="00FE1D98">
        <w:rPr>
          <w:rFonts w:ascii="Arial" w:eastAsia="Times New Roman" w:hAnsi="Arial" w:cs="Arial"/>
          <w:color w:val="0B0C0C"/>
          <w:kern w:val="0"/>
          <w:sz w:val="24"/>
          <w:szCs w:val="24"/>
          <w:lang w:eastAsia="en-GB"/>
          <w14:ligatures w14:val="none"/>
        </w:rPr>
        <w:t xml:space="preserve">An assessment will be undertaken to consider whether any of the following areas or assets of particular importance lie within or impact on the assessment area.   </w:t>
      </w:r>
    </w:p>
    <w:p w14:paraId="1B9B697B" w14:textId="77777777" w:rsidR="009E01A8" w:rsidRPr="009E01A8" w:rsidRDefault="009E01A8" w:rsidP="009E01A8">
      <w:pPr>
        <w:shd w:val="clear" w:color="auto" w:fill="FFFFFF"/>
        <w:spacing w:after="150" w:line="240" w:lineRule="auto"/>
        <w:rPr>
          <w:rFonts w:ascii="Arial" w:eastAsia="Times New Roman" w:hAnsi="Arial" w:cs="Arial"/>
          <w:color w:val="0B0C0C"/>
          <w:kern w:val="0"/>
          <w:sz w:val="24"/>
          <w:szCs w:val="24"/>
          <w:lang w:eastAsia="en-GB"/>
          <w14:ligatures w14:val="none"/>
        </w:rPr>
      </w:pPr>
    </w:p>
    <w:p w14:paraId="2FF1DEB9" w14:textId="030C2852" w:rsidR="000A66AE" w:rsidRPr="003C0E04" w:rsidRDefault="00F2683B" w:rsidP="00AD2CFB">
      <w:pPr>
        <w:pStyle w:val="ListParagraph"/>
        <w:numPr>
          <w:ilvl w:val="1"/>
          <w:numId w:val="29"/>
        </w:numPr>
        <w:shd w:val="clear" w:color="auto" w:fill="FFFFFF"/>
        <w:spacing w:after="150" w:line="240" w:lineRule="auto"/>
        <w:ind w:left="709" w:hanging="709"/>
        <w:rPr>
          <w:rFonts w:ascii="Arial" w:eastAsia="Times New Roman" w:hAnsi="Arial" w:cs="Arial"/>
          <w:color w:val="0B0C0C"/>
          <w:kern w:val="0"/>
          <w:sz w:val="24"/>
          <w:szCs w:val="24"/>
          <w:lang w:eastAsia="en-GB"/>
          <w14:ligatures w14:val="none"/>
        </w:rPr>
      </w:pPr>
      <w:r w:rsidRPr="003C0E04">
        <w:rPr>
          <w:rFonts w:ascii="Arial" w:eastAsia="Times New Roman" w:hAnsi="Arial" w:cs="Arial"/>
          <w:color w:val="0B0C0C"/>
          <w:kern w:val="0"/>
          <w:sz w:val="24"/>
          <w:szCs w:val="24"/>
          <w:lang w:eastAsia="en-GB"/>
          <w14:ligatures w14:val="none"/>
        </w:rPr>
        <w:t>Areas/assets of importance listed in footnote 7 (other than Green Belt) that are applicable to the local authority areas will be defined as follows.</w:t>
      </w:r>
    </w:p>
    <w:tbl>
      <w:tblPr>
        <w:tblStyle w:val="TableGrid"/>
        <w:tblW w:w="0" w:type="auto"/>
        <w:tblLook w:val="04A0" w:firstRow="1" w:lastRow="0" w:firstColumn="1" w:lastColumn="0" w:noHBand="0" w:noVBand="1"/>
      </w:tblPr>
      <w:tblGrid>
        <w:gridCol w:w="6162"/>
        <w:gridCol w:w="2854"/>
      </w:tblGrid>
      <w:tr w:rsidR="00F2683B" w14:paraId="24737EE7" w14:textId="77777777" w:rsidTr="00EE342B">
        <w:tc>
          <w:tcPr>
            <w:tcW w:w="6162" w:type="dxa"/>
          </w:tcPr>
          <w:p w14:paraId="48C9FA2D" w14:textId="1504BDA5" w:rsidR="00F2683B" w:rsidRPr="00F2683B" w:rsidRDefault="00F2683B" w:rsidP="00067A40">
            <w:pPr>
              <w:spacing w:after="150"/>
              <w:rPr>
                <w:rFonts w:ascii="Arial" w:eastAsia="Times New Roman" w:hAnsi="Arial" w:cs="Arial"/>
                <w:b/>
                <w:bCs/>
                <w:color w:val="0B0C0C"/>
                <w:kern w:val="0"/>
                <w:sz w:val="24"/>
                <w:szCs w:val="24"/>
                <w:lang w:eastAsia="en-GB"/>
                <w14:ligatures w14:val="none"/>
              </w:rPr>
            </w:pPr>
            <w:r w:rsidRPr="00F2683B">
              <w:rPr>
                <w:rFonts w:ascii="Arial" w:hAnsi="Arial" w:cs="Arial"/>
                <w:sz w:val="24"/>
                <w:szCs w:val="24"/>
              </w:rPr>
              <w:t>Sites of Special Scientific Interest</w:t>
            </w:r>
          </w:p>
        </w:tc>
        <w:tc>
          <w:tcPr>
            <w:tcW w:w="2854" w:type="dxa"/>
          </w:tcPr>
          <w:p w14:paraId="078F6DC9" w14:textId="31730CE6" w:rsidR="00F2683B" w:rsidRPr="00F2683B" w:rsidRDefault="00F2683B" w:rsidP="00067A40">
            <w:pPr>
              <w:spacing w:after="150"/>
              <w:rPr>
                <w:rFonts w:ascii="Arial" w:eastAsia="Times New Roman" w:hAnsi="Arial" w:cs="Arial"/>
                <w:color w:val="0B0C0C"/>
                <w:kern w:val="0"/>
                <w:sz w:val="24"/>
                <w:szCs w:val="24"/>
                <w:lang w:eastAsia="en-GB"/>
                <w14:ligatures w14:val="none"/>
              </w:rPr>
            </w:pPr>
            <w:r w:rsidRPr="00F2683B">
              <w:rPr>
                <w:rFonts w:ascii="Arial" w:eastAsia="Times New Roman" w:hAnsi="Arial" w:cs="Arial"/>
                <w:color w:val="0B0C0C"/>
                <w:kern w:val="0"/>
                <w:sz w:val="24"/>
                <w:szCs w:val="24"/>
                <w:lang w:eastAsia="en-GB"/>
                <w14:ligatures w14:val="none"/>
              </w:rPr>
              <w:t xml:space="preserve">As </w:t>
            </w:r>
            <w:r w:rsidR="00A45BC5">
              <w:rPr>
                <w:rFonts w:ascii="Arial" w:eastAsia="Times New Roman" w:hAnsi="Arial" w:cs="Arial"/>
                <w:color w:val="0B0C0C"/>
                <w:kern w:val="0"/>
                <w:sz w:val="24"/>
                <w:szCs w:val="24"/>
                <w:lang w:eastAsia="en-GB"/>
                <w14:ligatures w14:val="none"/>
              </w:rPr>
              <w:t xml:space="preserve">designated </w:t>
            </w:r>
            <w:r w:rsidRPr="00F2683B">
              <w:rPr>
                <w:rFonts w:ascii="Arial" w:eastAsia="Times New Roman" w:hAnsi="Arial" w:cs="Arial"/>
                <w:color w:val="0B0C0C"/>
                <w:kern w:val="0"/>
                <w:sz w:val="24"/>
                <w:szCs w:val="24"/>
                <w:lang w:eastAsia="en-GB"/>
                <w14:ligatures w14:val="none"/>
              </w:rPr>
              <w:t>by Natural England.</w:t>
            </w:r>
          </w:p>
        </w:tc>
      </w:tr>
      <w:tr w:rsidR="00F2683B" w14:paraId="1C4BB19A" w14:textId="77777777" w:rsidTr="00EE342B">
        <w:tc>
          <w:tcPr>
            <w:tcW w:w="6162" w:type="dxa"/>
          </w:tcPr>
          <w:p w14:paraId="7DD8374F" w14:textId="14E400B3" w:rsidR="00F2683B" w:rsidRPr="00F2683B" w:rsidRDefault="00F2683B" w:rsidP="00067A40">
            <w:pPr>
              <w:spacing w:after="150"/>
              <w:rPr>
                <w:rFonts w:ascii="Arial" w:eastAsia="Times New Roman" w:hAnsi="Arial" w:cs="Arial"/>
                <w:b/>
                <w:bCs/>
                <w:color w:val="0B0C0C"/>
                <w:kern w:val="0"/>
                <w:sz w:val="24"/>
                <w:szCs w:val="24"/>
                <w:lang w:eastAsia="en-GB"/>
                <w14:ligatures w14:val="none"/>
              </w:rPr>
            </w:pPr>
            <w:r w:rsidRPr="00F2683B">
              <w:rPr>
                <w:rFonts w:ascii="Arial" w:hAnsi="Arial" w:cs="Arial"/>
                <w:sz w:val="24"/>
                <w:szCs w:val="24"/>
              </w:rPr>
              <w:t>Local Green Space</w:t>
            </w:r>
          </w:p>
        </w:tc>
        <w:tc>
          <w:tcPr>
            <w:tcW w:w="2854" w:type="dxa"/>
          </w:tcPr>
          <w:p w14:paraId="6ACED845" w14:textId="136953B3" w:rsidR="00F2683B" w:rsidRPr="00F2683B" w:rsidRDefault="00F2683B" w:rsidP="00067A40">
            <w:pPr>
              <w:spacing w:after="150"/>
              <w:rPr>
                <w:rFonts w:ascii="Arial" w:eastAsia="Times New Roman" w:hAnsi="Arial" w:cs="Arial"/>
                <w:color w:val="0B0C0C"/>
                <w:kern w:val="0"/>
                <w:sz w:val="24"/>
                <w:szCs w:val="24"/>
                <w:lang w:eastAsia="en-GB"/>
                <w14:ligatures w14:val="none"/>
              </w:rPr>
            </w:pPr>
            <w:r w:rsidRPr="00F2683B">
              <w:rPr>
                <w:rFonts w:ascii="Arial" w:eastAsia="Times New Roman" w:hAnsi="Arial" w:cs="Arial"/>
                <w:color w:val="0B0C0C"/>
                <w:kern w:val="0"/>
                <w:sz w:val="24"/>
                <w:szCs w:val="24"/>
                <w:lang w:eastAsia="en-GB"/>
                <w14:ligatures w14:val="none"/>
              </w:rPr>
              <w:t>Defined in local plans</w:t>
            </w:r>
            <w:r w:rsidR="000D4B5F">
              <w:rPr>
                <w:rFonts w:ascii="Arial" w:eastAsia="Times New Roman" w:hAnsi="Arial" w:cs="Arial"/>
                <w:color w:val="0B0C0C"/>
                <w:kern w:val="0"/>
                <w:sz w:val="24"/>
                <w:szCs w:val="24"/>
                <w:lang w:eastAsia="en-GB"/>
                <w14:ligatures w14:val="none"/>
              </w:rPr>
              <w:t xml:space="preserve">, </w:t>
            </w:r>
            <w:r w:rsidRPr="00F2683B">
              <w:rPr>
                <w:rFonts w:ascii="Arial" w:eastAsia="Times New Roman" w:hAnsi="Arial" w:cs="Arial"/>
                <w:color w:val="0B0C0C"/>
                <w:kern w:val="0"/>
                <w:sz w:val="24"/>
                <w:szCs w:val="24"/>
                <w:lang w:eastAsia="en-GB"/>
                <w14:ligatures w14:val="none"/>
              </w:rPr>
              <w:t>neighbourhood plans</w:t>
            </w:r>
            <w:r w:rsidR="000D4B5F">
              <w:rPr>
                <w:rFonts w:ascii="Arial" w:eastAsia="Times New Roman" w:hAnsi="Arial" w:cs="Arial"/>
                <w:color w:val="0B0C0C"/>
                <w:kern w:val="0"/>
                <w:sz w:val="24"/>
                <w:szCs w:val="24"/>
                <w:lang w:eastAsia="en-GB"/>
                <w14:ligatures w14:val="none"/>
              </w:rPr>
              <w:t xml:space="preserve"> and the Nottingham City Council Open Space Network.</w:t>
            </w:r>
          </w:p>
        </w:tc>
      </w:tr>
      <w:tr w:rsidR="00F2683B" w14:paraId="03AF898C" w14:textId="77777777" w:rsidTr="00EE342B">
        <w:tc>
          <w:tcPr>
            <w:tcW w:w="6162" w:type="dxa"/>
          </w:tcPr>
          <w:p w14:paraId="1EE90F07" w14:textId="47AB66CD" w:rsidR="00F2683B" w:rsidRPr="00F2683B" w:rsidRDefault="001D3626" w:rsidP="00067A40">
            <w:pPr>
              <w:spacing w:after="150"/>
              <w:rPr>
                <w:rFonts w:ascii="Arial" w:eastAsia="Times New Roman" w:hAnsi="Arial" w:cs="Arial"/>
                <w:b/>
                <w:bCs/>
                <w:color w:val="0B0C0C"/>
                <w:kern w:val="0"/>
                <w:sz w:val="24"/>
                <w:szCs w:val="24"/>
                <w:lang w:eastAsia="en-GB"/>
                <w14:ligatures w14:val="none"/>
              </w:rPr>
            </w:pPr>
            <w:r>
              <w:rPr>
                <w:rFonts w:ascii="Arial" w:hAnsi="Arial" w:cs="Arial"/>
                <w:sz w:val="24"/>
                <w:szCs w:val="24"/>
              </w:rPr>
              <w:t>I</w:t>
            </w:r>
            <w:r w:rsidR="00F2683B" w:rsidRPr="00F2683B">
              <w:rPr>
                <w:rFonts w:ascii="Arial" w:hAnsi="Arial" w:cs="Arial"/>
                <w:sz w:val="24"/>
                <w:szCs w:val="24"/>
              </w:rPr>
              <w:t xml:space="preserve">rreplaceable habitats </w:t>
            </w:r>
          </w:p>
        </w:tc>
        <w:tc>
          <w:tcPr>
            <w:tcW w:w="2854" w:type="dxa"/>
          </w:tcPr>
          <w:p w14:paraId="6DF24E37" w14:textId="71A5CF22" w:rsidR="00F2683B" w:rsidRPr="00F2683B" w:rsidRDefault="00FF4702" w:rsidP="00067A40">
            <w:pPr>
              <w:spacing w:after="150"/>
              <w:rPr>
                <w:rFonts w:ascii="Arial" w:eastAsia="Times New Roman" w:hAnsi="Arial" w:cs="Arial"/>
                <w:color w:val="0B0C0C"/>
                <w:kern w:val="0"/>
                <w:sz w:val="24"/>
                <w:szCs w:val="24"/>
                <w:lang w:eastAsia="en-GB"/>
                <w14:ligatures w14:val="none"/>
              </w:rPr>
            </w:pPr>
            <w:r>
              <w:rPr>
                <w:rFonts w:ascii="Arial" w:eastAsia="Times New Roman" w:hAnsi="Arial" w:cs="Arial"/>
                <w:color w:val="0B0C0C"/>
                <w:kern w:val="0"/>
                <w:sz w:val="24"/>
                <w:szCs w:val="24"/>
                <w:lang w:eastAsia="en-GB"/>
                <w14:ligatures w14:val="none"/>
              </w:rPr>
              <w:t>As defined in the glossary to the NPPF</w:t>
            </w:r>
            <w:r w:rsidR="000D4B5F">
              <w:rPr>
                <w:rFonts w:ascii="Arial" w:eastAsia="Times New Roman" w:hAnsi="Arial" w:cs="Arial"/>
                <w:color w:val="0B0C0C"/>
                <w:kern w:val="0"/>
                <w:sz w:val="24"/>
                <w:szCs w:val="24"/>
                <w:lang w:eastAsia="en-GB"/>
                <w14:ligatures w14:val="none"/>
              </w:rPr>
              <w:t>.  Include ancient woodland</w:t>
            </w:r>
            <w:r w:rsidR="00A45BC5">
              <w:rPr>
                <w:rFonts w:ascii="Arial" w:eastAsia="Times New Roman" w:hAnsi="Arial" w:cs="Arial"/>
                <w:color w:val="0B0C0C"/>
                <w:kern w:val="0"/>
                <w:sz w:val="24"/>
                <w:szCs w:val="24"/>
                <w:lang w:eastAsia="en-GB"/>
                <w14:ligatures w14:val="none"/>
              </w:rPr>
              <w:t xml:space="preserve"> and</w:t>
            </w:r>
            <w:r w:rsidR="000D4B5F">
              <w:rPr>
                <w:rFonts w:ascii="Arial" w:eastAsia="Times New Roman" w:hAnsi="Arial" w:cs="Arial"/>
                <w:color w:val="0B0C0C"/>
                <w:kern w:val="0"/>
                <w:sz w:val="24"/>
                <w:szCs w:val="24"/>
                <w:lang w:eastAsia="en-GB"/>
                <w14:ligatures w14:val="none"/>
              </w:rPr>
              <w:t xml:space="preserve"> ancient and veteran trees</w:t>
            </w:r>
            <w:r w:rsidR="00350A24">
              <w:rPr>
                <w:rFonts w:ascii="Arial" w:eastAsia="Times New Roman" w:hAnsi="Arial" w:cs="Arial"/>
                <w:color w:val="0B0C0C"/>
                <w:kern w:val="0"/>
                <w:sz w:val="24"/>
                <w:szCs w:val="24"/>
                <w:lang w:eastAsia="en-GB"/>
                <w14:ligatures w14:val="none"/>
              </w:rPr>
              <w:t xml:space="preserve">.  </w:t>
            </w:r>
          </w:p>
        </w:tc>
      </w:tr>
      <w:tr w:rsidR="00F2683B" w14:paraId="050EC59F" w14:textId="77777777" w:rsidTr="00EE342B">
        <w:tc>
          <w:tcPr>
            <w:tcW w:w="6162" w:type="dxa"/>
          </w:tcPr>
          <w:p w14:paraId="003C7331" w14:textId="21F92D7C" w:rsidR="00D04589" w:rsidRPr="00303776" w:rsidRDefault="00F2683B" w:rsidP="00D04589">
            <w:pPr>
              <w:spacing w:after="150"/>
              <w:rPr>
                <w:rFonts w:ascii="Arial" w:hAnsi="Arial" w:cs="Arial"/>
                <w:sz w:val="24"/>
                <w:szCs w:val="24"/>
              </w:rPr>
            </w:pPr>
            <w:r>
              <w:rPr>
                <w:rFonts w:ascii="Arial" w:hAnsi="Arial" w:cs="Arial"/>
                <w:sz w:val="24"/>
                <w:szCs w:val="24"/>
              </w:rPr>
              <w:t>D</w:t>
            </w:r>
            <w:r w:rsidRPr="00F2683B">
              <w:rPr>
                <w:rFonts w:ascii="Arial" w:hAnsi="Arial" w:cs="Arial"/>
                <w:sz w:val="24"/>
                <w:szCs w:val="24"/>
              </w:rPr>
              <w:t>esignated heritage assets (</w:t>
            </w:r>
            <w:r w:rsidRPr="00303776">
              <w:rPr>
                <w:rFonts w:ascii="Arial" w:hAnsi="Arial" w:cs="Arial"/>
                <w:sz w:val="24"/>
                <w:szCs w:val="24"/>
              </w:rPr>
              <w:t>and other heritage assets of archaeological interest referred to in footnote 75)</w:t>
            </w:r>
          </w:p>
        </w:tc>
        <w:tc>
          <w:tcPr>
            <w:tcW w:w="2854" w:type="dxa"/>
          </w:tcPr>
          <w:p w14:paraId="045F3A9F" w14:textId="438D8FC4" w:rsidR="00F2683B" w:rsidRDefault="000B200F" w:rsidP="00067A40">
            <w:pPr>
              <w:spacing w:after="150"/>
              <w:rPr>
                <w:rFonts w:ascii="Arial" w:eastAsia="Times New Roman" w:hAnsi="Arial" w:cs="Arial"/>
                <w:color w:val="0B0C0C"/>
                <w:kern w:val="0"/>
                <w:sz w:val="24"/>
                <w:szCs w:val="24"/>
                <w:lang w:eastAsia="en-GB"/>
                <w14:ligatures w14:val="none"/>
              </w:rPr>
            </w:pPr>
            <w:r>
              <w:rPr>
                <w:rFonts w:ascii="Arial" w:eastAsia="Times New Roman" w:hAnsi="Arial" w:cs="Arial"/>
                <w:color w:val="0B0C0C"/>
                <w:kern w:val="0"/>
                <w:sz w:val="24"/>
                <w:szCs w:val="24"/>
                <w:lang w:eastAsia="en-GB"/>
                <w14:ligatures w14:val="none"/>
              </w:rPr>
              <w:t xml:space="preserve">Designated heritage assets </w:t>
            </w:r>
            <w:r w:rsidR="00F2683B" w:rsidRPr="00F2683B">
              <w:rPr>
                <w:rFonts w:ascii="Arial" w:eastAsia="Times New Roman" w:hAnsi="Arial" w:cs="Arial"/>
                <w:color w:val="0B0C0C"/>
                <w:kern w:val="0"/>
                <w:sz w:val="24"/>
                <w:szCs w:val="24"/>
                <w:lang w:eastAsia="en-GB"/>
                <w14:ligatures w14:val="none"/>
              </w:rPr>
              <w:t>defined by Historic England</w:t>
            </w:r>
            <w:r w:rsidR="00D04589">
              <w:rPr>
                <w:rFonts w:ascii="Arial" w:eastAsia="Times New Roman" w:hAnsi="Arial" w:cs="Arial"/>
                <w:color w:val="0B0C0C"/>
                <w:kern w:val="0"/>
                <w:sz w:val="24"/>
                <w:szCs w:val="24"/>
                <w:lang w:eastAsia="en-GB"/>
                <w14:ligatures w14:val="none"/>
              </w:rPr>
              <w:t xml:space="preserve"> </w:t>
            </w:r>
            <w:bookmarkStart w:id="5" w:name="_Hlk198902218"/>
            <w:r>
              <w:rPr>
                <w:rFonts w:ascii="Arial" w:eastAsia="Times New Roman" w:hAnsi="Arial" w:cs="Arial"/>
                <w:color w:val="0B0C0C"/>
                <w:kern w:val="0"/>
                <w:sz w:val="24"/>
                <w:szCs w:val="24"/>
                <w:lang w:eastAsia="en-GB"/>
                <w14:ligatures w14:val="none"/>
              </w:rPr>
              <w:t xml:space="preserve">includes </w:t>
            </w:r>
            <w:r w:rsidR="00D04589">
              <w:rPr>
                <w:rFonts w:ascii="Arial" w:eastAsia="Times New Roman" w:hAnsi="Arial" w:cs="Arial"/>
                <w:color w:val="0B0C0C"/>
                <w:kern w:val="0"/>
                <w:sz w:val="24"/>
                <w:szCs w:val="24"/>
                <w:lang w:eastAsia="en-GB"/>
                <w14:ligatures w14:val="none"/>
              </w:rPr>
              <w:t xml:space="preserve">listed buildings, scheduled monuments, registered historic parks and gardens, conservation areas. </w:t>
            </w:r>
            <w:bookmarkEnd w:id="5"/>
          </w:p>
          <w:p w14:paraId="2A1BBC2D" w14:textId="392C25EE" w:rsidR="000B200F" w:rsidRPr="00F2683B" w:rsidRDefault="000B200F" w:rsidP="00067A40">
            <w:pPr>
              <w:spacing w:after="150"/>
              <w:rPr>
                <w:rFonts w:ascii="Arial" w:eastAsia="Times New Roman" w:hAnsi="Arial" w:cs="Arial"/>
                <w:color w:val="0B0C0C"/>
                <w:kern w:val="0"/>
                <w:sz w:val="24"/>
                <w:szCs w:val="24"/>
                <w:lang w:eastAsia="en-GB"/>
                <w14:ligatures w14:val="none"/>
              </w:rPr>
            </w:pPr>
            <w:r>
              <w:rPr>
                <w:rFonts w:ascii="Arial" w:eastAsia="Times New Roman" w:hAnsi="Arial" w:cs="Arial"/>
                <w:color w:val="0B0C0C"/>
                <w:kern w:val="0"/>
                <w:sz w:val="24"/>
                <w:szCs w:val="24"/>
                <w:lang w:eastAsia="en-GB"/>
                <w14:ligatures w14:val="none"/>
              </w:rPr>
              <w:t xml:space="preserve">Other heritage assets of archaeological interest </w:t>
            </w:r>
            <w:r w:rsidR="0080420B" w:rsidRPr="0080420B">
              <w:rPr>
                <w:rFonts w:ascii="Arial" w:eastAsia="Times New Roman" w:hAnsi="Arial" w:cs="Arial"/>
                <w:color w:val="0B0C0C"/>
                <w:kern w:val="0"/>
                <w:sz w:val="24"/>
                <w:szCs w:val="24"/>
                <w:lang w:eastAsia="en-GB"/>
                <w14:ligatures w14:val="none"/>
              </w:rPr>
              <w:t xml:space="preserve">which are demonstrably of equivalent significance to scheduled monuments </w:t>
            </w:r>
            <w:r>
              <w:rPr>
                <w:rFonts w:ascii="Arial" w:eastAsia="Times New Roman" w:hAnsi="Arial" w:cs="Arial"/>
                <w:color w:val="0B0C0C"/>
                <w:kern w:val="0"/>
                <w:sz w:val="24"/>
                <w:szCs w:val="24"/>
                <w:lang w:eastAsia="en-GB"/>
                <w14:ligatures w14:val="none"/>
              </w:rPr>
              <w:t>defined by local authorities.</w:t>
            </w:r>
          </w:p>
        </w:tc>
      </w:tr>
      <w:tr w:rsidR="00F2683B" w14:paraId="587CC8D1" w14:textId="77777777" w:rsidTr="00EE342B">
        <w:tc>
          <w:tcPr>
            <w:tcW w:w="6162" w:type="dxa"/>
          </w:tcPr>
          <w:p w14:paraId="22C01A43" w14:textId="37CAA7C4" w:rsidR="00F2683B" w:rsidRPr="00F2683B" w:rsidRDefault="00F2683B" w:rsidP="00067A40">
            <w:pPr>
              <w:spacing w:after="150"/>
              <w:rPr>
                <w:rFonts w:ascii="Arial" w:eastAsia="Times New Roman" w:hAnsi="Arial" w:cs="Arial"/>
                <w:b/>
                <w:bCs/>
                <w:color w:val="0B0C0C"/>
                <w:kern w:val="0"/>
                <w:sz w:val="24"/>
                <w:szCs w:val="24"/>
                <w:lang w:eastAsia="en-GB"/>
                <w14:ligatures w14:val="none"/>
              </w:rPr>
            </w:pPr>
            <w:r>
              <w:rPr>
                <w:rFonts w:ascii="Arial" w:hAnsi="Arial" w:cs="Arial"/>
                <w:sz w:val="24"/>
                <w:szCs w:val="24"/>
              </w:rPr>
              <w:t>A</w:t>
            </w:r>
            <w:r w:rsidRPr="00F2683B">
              <w:rPr>
                <w:rFonts w:ascii="Arial" w:hAnsi="Arial" w:cs="Arial"/>
                <w:sz w:val="24"/>
                <w:szCs w:val="24"/>
              </w:rPr>
              <w:t xml:space="preserve">reas at risk of flooding </w:t>
            </w:r>
          </w:p>
        </w:tc>
        <w:tc>
          <w:tcPr>
            <w:tcW w:w="2854" w:type="dxa"/>
          </w:tcPr>
          <w:p w14:paraId="3EBC4A57" w14:textId="7A73A3B2" w:rsidR="00F2683B" w:rsidRPr="006549B0" w:rsidRDefault="00031E2D" w:rsidP="00067A40">
            <w:pPr>
              <w:spacing w:after="150"/>
              <w:rPr>
                <w:rFonts w:ascii="Arial" w:eastAsia="Times New Roman" w:hAnsi="Arial" w:cs="Arial"/>
                <w:color w:val="0B0C0C"/>
                <w:kern w:val="0"/>
                <w:sz w:val="24"/>
                <w:szCs w:val="24"/>
                <w:lang w:eastAsia="en-GB"/>
                <w14:ligatures w14:val="none"/>
              </w:rPr>
            </w:pPr>
            <w:r w:rsidRPr="006549B0">
              <w:rPr>
                <w:rFonts w:ascii="Arial" w:eastAsia="Times New Roman" w:hAnsi="Arial" w:cs="Arial"/>
                <w:color w:val="0B0C0C"/>
                <w:kern w:val="0"/>
                <w:sz w:val="24"/>
                <w:szCs w:val="24"/>
                <w:lang w:eastAsia="en-GB"/>
                <w14:ligatures w14:val="none"/>
              </w:rPr>
              <w:t>Within flood zones 2 and 3.</w:t>
            </w:r>
          </w:p>
        </w:tc>
      </w:tr>
    </w:tbl>
    <w:p w14:paraId="54E0B22B" w14:textId="77777777" w:rsidR="00F2683B" w:rsidRPr="00067A40" w:rsidRDefault="00F2683B" w:rsidP="00067A40">
      <w:pPr>
        <w:shd w:val="clear" w:color="auto" w:fill="FFFFFF"/>
        <w:spacing w:after="150" w:line="240" w:lineRule="auto"/>
        <w:rPr>
          <w:rFonts w:ascii="Arial" w:eastAsia="Times New Roman" w:hAnsi="Arial" w:cs="Arial"/>
          <w:b/>
          <w:bCs/>
          <w:color w:val="0B0C0C"/>
          <w:kern w:val="0"/>
          <w:sz w:val="24"/>
          <w:szCs w:val="24"/>
          <w:lang w:eastAsia="en-GB"/>
          <w14:ligatures w14:val="none"/>
        </w:rPr>
      </w:pPr>
    </w:p>
    <w:p w14:paraId="5FDF708C" w14:textId="0E99A485" w:rsidR="00627A4D" w:rsidRDefault="001D3626" w:rsidP="00627A4D">
      <w:pPr>
        <w:shd w:val="clear" w:color="auto" w:fill="FFFFFF"/>
        <w:spacing w:after="150" w:line="240" w:lineRule="auto"/>
        <w:ind w:left="709" w:hanging="709"/>
        <w:rPr>
          <w:rFonts w:ascii="Arial" w:eastAsia="Times New Roman" w:hAnsi="Arial" w:cs="Arial"/>
          <w:color w:val="0B0C0C"/>
          <w:kern w:val="0"/>
          <w:sz w:val="24"/>
          <w:szCs w:val="24"/>
          <w:lang w:eastAsia="en-GB"/>
          <w14:ligatures w14:val="none"/>
        </w:rPr>
      </w:pPr>
      <w:bookmarkStart w:id="6" w:name="_Hlk204246028"/>
      <w:r w:rsidRPr="00630869">
        <w:rPr>
          <w:rFonts w:ascii="Arial" w:eastAsia="Times New Roman" w:hAnsi="Arial" w:cs="Arial"/>
          <w:color w:val="0B0C0C"/>
          <w:kern w:val="0"/>
          <w:sz w:val="24"/>
          <w:szCs w:val="24"/>
          <w:lang w:eastAsia="en-GB"/>
          <w14:ligatures w14:val="none"/>
        </w:rPr>
        <w:t>5.1</w:t>
      </w:r>
      <w:r w:rsidR="00AD2CFB">
        <w:rPr>
          <w:rFonts w:ascii="Arial" w:eastAsia="Times New Roman" w:hAnsi="Arial" w:cs="Arial"/>
          <w:color w:val="0B0C0C"/>
          <w:kern w:val="0"/>
          <w:sz w:val="24"/>
          <w:szCs w:val="24"/>
          <w:lang w:eastAsia="en-GB"/>
          <w14:ligatures w14:val="none"/>
        </w:rPr>
        <w:t>3</w:t>
      </w:r>
      <w:r w:rsidR="00350A24">
        <w:rPr>
          <w:rFonts w:ascii="Arial" w:eastAsia="Times New Roman" w:hAnsi="Arial" w:cs="Arial"/>
          <w:color w:val="0B0C0C"/>
          <w:kern w:val="0"/>
          <w:sz w:val="24"/>
          <w:szCs w:val="24"/>
          <w:lang w:eastAsia="en-GB"/>
          <w14:ligatures w14:val="none"/>
        </w:rPr>
        <w:tab/>
      </w:r>
      <w:bookmarkStart w:id="7" w:name="_Hlk201322812"/>
      <w:r w:rsidR="00B56806">
        <w:rPr>
          <w:rFonts w:ascii="Arial" w:eastAsia="Times New Roman" w:hAnsi="Arial" w:cs="Arial"/>
          <w:color w:val="0B0C0C"/>
          <w:kern w:val="0"/>
          <w:sz w:val="24"/>
          <w:szCs w:val="24"/>
          <w:lang w:eastAsia="en-GB"/>
          <w14:ligatures w14:val="none"/>
        </w:rPr>
        <w:t>The</w:t>
      </w:r>
      <w:r w:rsidR="00350A24">
        <w:rPr>
          <w:rFonts w:ascii="Arial" w:eastAsia="Times New Roman" w:hAnsi="Arial" w:cs="Arial"/>
          <w:color w:val="0B0C0C"/>
          <w:kern w:val="0"/>
          <w:sz w:val="24"/>
          <w:szCs w:val="24"/>
          <w:lang w:eastAsia="en-GB"/>
          <w14:ligatures w14:val="none"/>
        </w:rPr>
        <w:t xml:space="preserve"> implications of the possible potential Sherwood Forest Special Protection Areas (</w:t>
      </w:r>
      <w:proofErr w:type="spellStart"/>
      <w:r w:rsidR="00350A24">
        <w:rPr>
          <w:rFonts w:ascii="Arial" w:eastAsia="Times New Roman" w:hAnsi="Arial" w:cs="Arial"/>
          <w:color w:val="0B0C0C"/>
          <w:kern w:val="0"/>
          <w:sz w:val="24"/>
          <w:szCs w:val="24"/>
          <w:lang w:eastAsia="en-GB"/>
          <w14:ligatures w14:val="none"/>
        </w:rPr>
        <w:t>ppSPA</w:t>
      </w:r>
      <w:proofErr w:type="spellEnd"/>
      <w:r w:rsidR="00350A24">
        <w:rPr>
          <w:rFonts w:ascii="Arial" w:eastAsia="Times New Roman" w:hAnsi="Arial" w:cs="Arial"/>
          <w:color w:val="0B0C0C"/>
          <w:kern w:val="0"/>
          <w:sz w:val="24"/>
          <w:szCs w:val="24"/>
          <w:lang w:eastAsia="en-GB"/>
          <w14:ligatures w14:val="none"/>
        </w:rPr>
        <w:t xml:space="preserve">) </w:t>
      </w:r>
      <w:r w:rsidR="00B56806">
        <w:rPr>
          <w:rFonts w:ascii="Arial" w:eastAsia="Times New Roman" w:hAnsi="Arial" w:cs="Arial"/>
          <w:color w:val="0B0C0C"/>
          <w:kern w:val="0"/>
          <w:sz w:val="24"/>
          <w:szCs w:val="24"/>
          <w:lang w:eastAsia="en-GB"/>
          <w14:ligatures w14:val="none"/>
        </w:rPr>
        <w:t xml:space="preserve">will also be considered </w:t>
      </w:r>
      <w:r w:rsidR="00350A24">
        <w:rPr>
          <w:rFonts w:ascii="Arial" w:eastAsia="Times New Roman" w:hAnsi="Arial" w:cs="Arial"/>
          <w:color w:val="0B0C0C"/>
          <w:kern w:val="0"/>
          <w:sz w:val="24"/>
          <w:szCs w:val="24"/>
          <w:lang w:eastAsia="en-GB"/>
          <w14:ligatures w14:val="none"/>
        </w:rPr>
        <w:t xml:space="preserve">in light of the </w:t>
      </w:r>
      <w:hyperlink r:id="rId30" w:history="1">
        <w:r w:rsidR="00350A24" w:rsidRPr="00350A24">
          <w:rPr>
            <w:rStyle w:val="Hyperlink"/>
            <w:rFonts w:ascii="Arial" w:eastAsia="Times New Roman" w:hAnsi="Arial" w:cs="Arial"/>
            <w:kern w:val="0"/>
            <w:sz w:val="24"/>
            <w:szCs w:val="24"/>
            <w:lang w:eastAsia="en-GB"/>
            <w14:ligatures w14:val="none"/>
          </w:rPr>
          <w:t>Natural England advice note</w:t>
        </w:r>
      </w:hyperlink>
      <w:r w:rsidR="00350A24">
        <w:rPr>
          <w:rFonts w:ascii="Arial" w:eastAsia="Times New Roman" w:hAnsi="Arial" w:cs="Arial"/>
          <w:color w:val="0B0C0C"/>
          <w:kern w:val="0"/>
          <w:sz w:val="24"/>
          <w:szCs w:val="24"/>
          <w:lang w:eastAsia="en-GB"/>
          <w14:ligatures w14:val="none"/>
        </w:rPr>
        <w:t>.</w:t>
      </w:r>
    </w:p>
    <w:bookmarkEnd w:id="6"/>
    <w:bookmarkEnd w:id="7"/>
    <w:p w14:paraId="65A40B39" w14:textId="77777777" w:rsidR="00630869" w:rsidRDefault="00630869" w:rsidP="00067A40">
      <w:pPr>
        <w:shd w:val="clear" w:color="auto" w:fill="FFFFFF"/>
        <w:spacing w:after="150" w:line="240" w:lineRule="auto"/>
        <w:rPr>
          <w:rFonts w:ascii="Arial" w:eastAsia="Times New Roman" w:hAnsi="Arial" w:cs="Arial"/>
          <w:b/>
          <w:bCs/>
          <w:color w:val="0B0C0C"/>
          <w:kern w:val="0"/>
          <w:sz w:val="24"/>
          <w:szCs w:val="24"/>
          <w:lang w:eastAsia="en-GB"/>
          <w14:ligatures w14:val="none"/>
        </w:rPr>
      </w:pPr>
    </w:p>
    <w:p w14:paraId="2CA812F9" w14:textId="642EE8F8" w:rsidR="000D4B5F" w:rsidRPr="00303776" w:rsidRDefault="000D4B5F" w:rsidP="000D4B5F">
      <w:pPr>
        <w:shd w:val="clear" w:color="auto" w:fill="FFFFFF"/>
        <w:spacing w:after="150" w:line="240" w:lineRule="auto"/>
        <w:rPr>
          <w:rFonts w:ascii="Arial" w:eastAsia="Times New Roman" w:hAnsi="Arial" w:cs="Arial"/>
          <w:b/>
          <w:bCs/>
          <w:color w:val="0B0C0C"/>
          <w:kern w:val="0"/>
          <w:sz w:val="24"/>
          <w:szCs w:val="24"/>
          <w:u w:val="single"/>
          <w:lang w:eastAsia="en-GB"/>
          <w14:ligatures w14:val="none"/>
        </w:rPr>
      </w:pPr>
      <w:r w:rsidRPr="00303776">
        <w:rPr>
          <w:rFonts w:ascii="Arial" w:eastAsia="Times New Roman" w:hAnsi="Arial" w:cs="Arial"/>
          <w:b/>
          <w:bCs/>
          <w:color w:val="0B0C0C"/>
          <w:kern w:val="0"/>
          <w:sz w:val="24"/>
          <w:szCs w:val="24"/>
          <w:u w:val="single"/>
          <w:lang w:eastAsia="en-GB"/>
          <w14:ligatures w14:val="none"/>
        </w:rPr>
        <w:lastRenderedPageBreak/>
        <w:t>Step 4 - identify grey belt land</w:t>
      </w:r>
    </w:p>
    <w:p w14:paraId="32B52162" w14:textId="64DC3BD8" w:rsidR="00AD2CFB" w:rsidRPr="00AD2CFB" w:rsidRDefault="000D4B5F" w:rsidP="00AD2CFB">
      <w:pPr>
        <w:pStyle w:val="ListParagraph"/>
        <w:numPr>
          <w:ilvl w:val="1"/>
          <w:numId w:val="30"/>
        </w:numPr>
        <w:shd w:val="clear" w:color="auto" w:fill="FFFFFF"/>
        <w:spacing w:after="150" w:line="240" w:lineRule="auto"/>
        <w:ind w:left="709" w:hanging="709"/>
        <w:rPr>
          <w:rFonts w:ascii="Arial" w:eastAsia="Times New Roman" w:hAnsi="Arial" w:cs="Arial"/>
          <w:color w:val="0B0C0C"/>
          <w:kern w:val="0"/>
          <w:sz w:val="24"/>
          <w:szCs w:val="24"/>
          <w:lang w:eastAsia="en-GB"/>
          <w14:ligatures w14:val="none"/>
        </w:rPr>
      </w:pPr>
      <w:r w:rsidRPr="00AD2CFB">
        <w:rPr>
          <w:rFonts w:ascii="Arial" w:eastAsia="Times New Roman" w:hAnsi="Arial" w:cs="Arial"/>
          <w:color w:val="0B0C0C"/>
          <w:kern w:val="0"/>
          <w:sz w:val="24"/>
          <w:szCs w:val="24"/>
          <w:lang w:eastAsia="en-GB"/>
          <w14:ligatures w14:val="none"/>
        </w:rPr>
        <w:t>Any assessment area that is not judged</w:t>
      </w:r>
      <w:r w:rsidR="00627A4D" w:rsidRPr="00AD2CFB">
        <w:rPr>
          <w:rFonts w:ascii="Arial" w:eastAsia="Times New Roman" w:hAnsi="Arial" w:cs="Arial"/>
          <w:color w:val="0B0C0C"/>
          <w:kern w:val="0"/>
          <w:sz w:val="24"/>
          <w:szCs w:val="24"/>
          <w:lang w:eastAsia="en-GB"/>
          <w14:ligatures w14:val="none"/>
        </w:rPr>
        <w:t xml:space="preserve"> (through step 2)</w:t>
      </w:r>
      <w:r w:rsidRPr="00AD2CFB">
        <w:rPr>
          <w:rFonts w:ascii="Arial" w:eastAsia="Times New Roman" w:hAnsi="Arial" w:cs="Arial"/>
          <w:color w:val="0B0C0C"/>
          <w:kern w:val="0"/>
          <w:sz w:val="24"/>
          <w:szCs w:val="24"/>
          <w:lang w:eastAsia="en-GB"/>
          <w14:ligatures w14:val="none"/>
        </w:rPr>
        <w:t xml:space="preserve"> to </w:t>
      </w:r>
      <w:r w:rsidRPr="00AD2CFB">
        <w:rPr>
          <w:rFonts w:ascii="Arial" w:eastAsia="Times New Roman" w:hAnsi="Arial" w:cs="Arial"/>
          <w:color w:val="0B0C0C"/>
          <w:kern w:val="0"/>
          <w:sz w:val="24"/>
          <w:szCs w:val="24"/>
          <w:u w:val="single"/>
          <w:lang w:eastAsia="en-GB"/>
          <w14:ligatures w14:val="none"/>
        </w:rPr>
        <w:t>strongly</w:t>
      </w:r>
      <w:r w:rsidRPr="00AD2CFB">
        <w:rPr>
          <w:rFonts w:ascii="Arial" w:eastAsia="Times New Roman" w:hAnsi="Arial" w:cs="Arial"/>
          <w:color w:val="0B0C0C"/>
          <w:kern w:val="0"/>
          <w:sz w:val="24"/>
          <w:szCs w:val="24"/>
          <w:lang w:eastAsia="en-GB"/>
          <w14:ligatures w14:val="none"/>
        </w:rPr>
        <w:t xml:space="preserve"> contribute to any of purposes </w:t>
      </w:r>
      <w:r w:rsidR="00D04589" w:rsidRPr="00AD2CFB">
        <w:rPr>
          <w:rFonts w:ascii="Arial" w:eastAsia="Times New Roman" w:hAnsi="Arial" w:cs="Arial"/>
          <w:color w:val="0B0C0C"/>
          <w:kern w:val="0"/>
          <w:sz w:val="24"/>
          <w:szCs w:val="24"/>
          <w:lang w:eastAsia="en-GB"/>
          <w14:ligatures w14:val="none"/>
        </w:rPr>
        <w:t>(</w:t>
      </w:r>
      <w:r w:rsidRPr="00AD2CFB">
        <w:rPr>
          <w:rFonts w:ascii="Arial" w:eastAsia="Times New Roman" w:hAnsi="Arial" w:cs="Arial"/>
          <w:color w:val="0B0C0C"/>
          <w:kern w:val="0"/>
          <w:sz w:val="24"/>
          <w:szCs w:val="24"/>
          <w:lang w:eastAsia="en-GB"/>
          <w14:ligatures w14:val="none"/>
        </w:rPr>
        <w:t>a</w:t>
      </w:r>
      <w:r w:rsidR="00D04589" w:rsidRPr="00AD2CFB">
        <w:rPr>
          <w:rFonts w:ascii="Arial" w:eastAsia="Times New Roman" w:hAnsi="Arial" w:cs="Arial"/>
          <w:color w:val="0B0C0C"/>
          <w:kern w:val="0"/>
          <w:sz w:val="24"/>
          <w:szCs w:val="24"/>
          <w:lang w:eastAsia="en-GB"/>
          <w14:ligatures w14:val="none"/>
        </w:rPr>
        <w:t>)</w:t>
      </w:r>
      <w:r w:rsidRPr="00AD2CFB">
        <w:rPr>
          <w:rFonts w:ascii="Arial" w:eastAsia="Times New Roman" w:hAnsi="Arial" w:cs="Arial"/>
          <w:color w:val="0B0C0C"/>
          <w:kern w:val="0"/>
          <w:sz w:val="24"/>
          <w:szCs w:val="24"/>
          <w:lang w:eastAsia="en-GB"/>
          <w14:ligatures w14:val="none"/>
        </w:rPr>
        <w:t>,</w:t>
      </w:r>
      <w:r w:rsidR="00D04589" w:rsidRPr="00AD2CFB">
        <w:rPr>
          <w:rFonts w:ascii="Arial" w:eastAsia="Times New Roman" w:hAnsi="Arial" w:cs="Arial"/>
          <w:color w:val="0B0C0C"/>
          <w:kern w:val="0"/>
          <w:sz w:val="24"/>
          <w:szCs w:val="24"/>
          <w:lang w:eastAsia="en-GB"/>
          <w14:ligatures w14:val="none"/>
        </w:rPr>
        <w:t xml:space="preserve"> (</w:t>
      </w:r>
      <w:r w:rsidRPr="00AD2CFB">
        <w:rPr>
          <w:rFonts w:ascii="Arial" w:eastAsia="Times New Roman" w:hAnsi="Arial" w:cs="Arial"/>
          <w:color w:val="0B0C0C"/>
          <w:kern w:val="0"/>
          <w:sz w:val="24"/>
          <w:szCs w:val="24"/>
          <w:lang w:eastAsia="en-GB"/>
          <w14:ligatures w14:val="none"/>
        </w:rPr>
        <w:t>b</w:t>
      </w:r>
      <w:r w:rsidR="00D04589" w:rsidRPr="00AD2CFB">
        <w:rPr>
          <w:rFonts w:ascii="Arial" w:eastAsia="Times New Roman" w:hAnsi="Arial" w:cs="Arial"/>
          <w:color w:val="0B0C0C"/>
          <w:kern w:val="0"/>
          <w:sz w:val="24"/>
          <w:szCs w:val="24"/>
          <w:lang w:eastAsia="en-GB"/>
          <w14:ligatures w14:val="none"/>
        </w:rPr>
        <w:t>)</w:t>
      </w:r>
      <w:r w:rsidRPr="00AD2CFB">
        <w:rPr>
          <w:rFonts w:ascii="Arial" w:eastAsia="Times New Roman" w:hAnsi="Arial" w:cs="Arial"/>
          <w:color w:val="0B0C0C"/>
          <w:kern w:val="0"/>
          <w:sz w:val="24"/>
          <w:szCs w:val="24"/>
          <w:lang w:eastAsia="en-GB"/>
          <w14:ligatures w14:val="none"/>
        </w:rPr>
        <w:t xml:space="preserve"> or </w:t>
      </w:r>
      <w:r w:rsidR="00D04589" w:rsidRPr="00AD2CFB">
        <w:rPr>
          <w:rFonts w:ascii="Arial" w:eastAsia="Times New Roman" w:hAnsi="Arial" w:cs="Arial"/>
          <w:color w:val="0B0C0C"/>
          <w:kern w:val="0"/>
          <w:sz w:val="24"/>
          <w:szCs w:val="24"/>
          <w:lang w:eastAsia="en-GB"/>
          <w14:ligatures w14:val="none"/>
        </w:rPr>
        <w:t>(</w:t>
      </w:r>
      <w:r w:rsidRPr="00AD2CFB">
        <w:rPr>
          <w:rFonts w:ascii="Arial" w:eastAsia="Times New Roman" w:hAnsi="Arial" w:cs="Arial"/>
          <w:color w:val="0B0C0C"/>
          <w:kern w:val="0"/>
          <w:sz w:val="24"/>
          <w:szCs w:val="24"/>
          <w:lang w:eastAsia="en-GB"/>
          <w14:ligatures w14:val="none"/>
        </w:rPr>
        <w:t>d</w:t>
      </w:r>
      <w:r w:rsidR="00D04589" w:rsidRPr="00AD2CFB">
        <w:rPr>
          <w:rFonts w:ascii="Arial" w:eastAsia="Times New Roman" w:hAnsi="Arial" w:cs="Arial"/>
          <w:color w:val="0B0C0C"/>
          <w:kern w:val="0"/>
          <w:sz w:val="24"/>
          <w:szCs w:val="24"/>
          <w:lang w:eastAsia="en-GB"/>
          <w14:ligatures w14:val="none"/>
        </w:rPr>
        <w:t>)</w:t>
      </w:r>
      <w:r w:rsidRPr="00AD2CFB">
        <w:rPr>
          <w:rFonts w:ascii="Arial" w:eastAsia="Times New Roman" w:hAnsi="Arial" w:cs="Arial"/>
          <w:color w:val="0B0C0C"/>
          <w:kern w:val="0"/>
          <w:sz w:val="24"/>
          <w:szCs w:val="24"/>
          <w:lang w:eastAsia="en-GB"/>
          <w14:ligatures w14:val="none"/>
        </w:rPr>
        <w:t xml:space="preserve"> </w:t>
      </w:r>
      <w:r w:rsidR="00233629" w:rsidRPr="00AD2CFB">
        <w:rPr>
          <w:rFonts w:ascii="Arial" w:eastAsia="Times New Roman" w:hAnsi="Arial" w:cs="Arial"/>
          <w:color w:val="0B0C0C"/>
          <w:kern w:val="0"/>
          <w:sz w:val="24"/>
          <w:szCs w:val="24"/>
          <w:lang w:eastAsia="en-GB"/>
          <w14:ligatures w14:val="none"/>
        </w:rPr>
        <w:t xml:space="preserve">may </w:t>
      </w:r>
      <w:r w:rsidRPr="00AD2CFB">
        <w:rPr>
          <w:rFonts w:ascii="Arial" w:eastAsia="Times New Roman" w:hAnsi="Arial" w:cs="Arial"/>
          <w:color w:val="0B0C0C"/>
          <w:kern w:val="0"/>
          <w:sz w:val="24"/>
          <w:szCs w:val="24"/>
          <w:lang w:eastAsia="en-GB"/>
          <w14:ligatures w14:val="none"/>
        </w:rPr>
        <w:t>be identified as grey belt land</w:t>
      </w:r>
      <w:r w:rsidR="009E01A8">
        <w:rPr>
          <w:rFonts w:ascii="Arial" w:eastAsia="Times New Roman" w:hAnsi="Arial" w:cs="Arial"/>
          <w:color w:val="0B0C0C"/>
          <w:kern w:val="0"/>
          <w:sz w:val="24"/>
          <w:szCs w:val="24"/>
          <w:lang w:eastAsia="en-GB"/>
          <w14:ligatures w14:val="none"/>
        </w:rPr>
        <w:t>.</w:t>
      </w:r>
    </w:p>
    <w:p w14:paraId="720860BF" w14:textId="3D70F8B6" w:rsidR="00627A4D" w:rsidRPr="00AD2CFB" w:rsidRDefault="00AD2CFB" w:rsidP="00AD2CFB">
      <w:pPr>
        <w:shd w:val="clear" w:color="auto" w:fill="FFFFFF"/>
        <w:spacing w:after="150" w:line="240" w:lineRule="auto"/>
        <w:ind w:left="709" w:hanging="709"/>
        <w:rPr>
          <w:rFonts w:ascii="Arial" w:eastAsia="Times New Roman" w:hAnsi="Arial" w:cs="Arial"/>
          <w:color w:val="0B0C0C"/>
          <w:kern w:val="0"/>
          <w:sz w:val="24"/>
          <w:szCs w:val="24"/>
          <w:lang w:eastAsia="en-GB"/>
          <w14:ligatures w14:val="none"/>
        </w:rPr>
      </w:pPr>
      <w:r>
        <w:rPr>
          <w:rFonts w:ascii="Arial" w:eastAsia="Times New Roman" w:hAnsi="Arial" w:cs="Arial"/>
          <w:color w:val="0B0C0C"/>
          <w:kern w:val="0"/>
          <w:sz w:val="24"/>
          <w:szCs w:val="24"/>
          <w:lang w:eastAsia="en-GB"/>
          <w14:ligatures w14:val="none"/>
        </w:rPr>
        <w:t>5.15</w:t>
      </w:r>
      <w:r>
        <w:rPr>
          <w:rFonts w:ascii="Arial" w:eastAsia="Times New Roman" w:hAnsi="Arial" w:cs="Arial"/>
          <w:color w:val="0B0C0C"/>
          <w:kern w:val="0"/>
          <w:sz w:val="24"/>
          <w:szCs w:val="24"/>
          <w:lang w:eastAsia="en-GB"/>
          <w14:ligatures w14:val="none"/>
        </w:rPr>
        <w:tab/>
      </w:r>
      <w:r w:rsidR="00627A4D" w:rsidRPr="00AD2CFB">
        <w:rPr>
          <w:rFonts w:ascii="Arial" w:eastAsia="Times New Roman" w:hAnsi="Arial" w:cs="Arial"/>
          <w:color w:val="0B0C0C"/>
          <w:kern w:val="0"/>
          <w:sz w:val="24"/>
          <w:szCs w:val="24"/>
          <w:lang w:eastAsia="en-GB"/>
          <w14:ligatures w14:val="none"/>
        </w:rPr>
        <w:t>If it is concluded that one or more of the areas/assets of importance partially or fully impact on the assessment area (through step 3), then it can only be identified as ‘provisional grey belt land’ (and not ‘grey belt’) in accordance with paragraph 006 of the Planning Practice Guidance</w:t>
      </w:r>
      <w:r w:rsidR="00CD3646">
        <w:rPr>
          <w:rFonts w:ascii="Arial" w:eastAsia="Times New Roman" w:hAnsi="Arial" w:cs="Arial"/>
          <w:color w:val="0B0C0C"/>
          <w:kern w:val="0"/>
          <w:sz w:val="24"/>
          <w:szCs w:val="24"/>
          <w:lang w:eastAsia="en-GB"/>
          <w14:ligatures w14:val="none"/>
        </w:rPr>
        <w:t xml:space="preserve"> on Green Belt</w:t>
      </w:r>
      <w:r w:rsidR="00627A4D" w:rsidRPr="00AD2CFB">
        <w:rPr>
          <w:rFonts w:ascii="Arial" w:eastAsia="Times New Roman" w:hAnsi="Arial" w:cs="Arial"/>
          <w:color w:val="0B0C0C"/>
          <w:kern w:val="0"/>
          <w:sz w:val="24"/>
          <w:szCs w:val="24"/>
          <w:lang w:eastAsia="en-GB"/>
          <w14:ligatures w14:val="none"/>
        </w:rPr>
        <w:t>.  A full conclusion will only be reached through the decision-making process when consideration can be given to the impact of the proposed development on the area/asset once more detailed specific proposals are known and the scope for any mitigation.</w:t>
      </w:r>
    </w:p>
    <w:p w14:paraId="157FE7AC" w14:textId="587BEC04" w:rsidR="00630869" w:rsidRPr="00303776" w:rsidRDefault="00630869" w:rsidP="00303776">
      <w:pPr>
        <w:shd w:val="clear" w:color="auto" w:fill="FFFFFF"/>
        <w:spacing w:after="150" w:line="240" w:lineRule="auto"/>
        <w:ind w:left="709" w:hanging="709"/>
        <w:rPr>
          <w:rFonts w:ascii="Arial" w:eastAsia="Times New Roman" w:hAnsi="Arial" w:cs="Arial"/>
          <w:color w:val="0B0C0C"/>
          <w:kern w:val="0"/>
          <w:sz w:val="24"/>
          <w:szCs w:val="24"/>
          <w:lang w:eastAsia="en-GB"/>
          <w14:ligatures w14:val="none"/>
        </w:rPr>
      </w:pPr>
    </w:p>
    <w:p w14:paraId="03484682" w14:textId="668CCD12" w:rsidR="00E12D26" w:rsidRPr="00303776" w:rsidRDefault="00A16076" w:rsidP="00E12D26">
      <w:pPr>
        <w:shd w:val="clear" w:color="auto" w:fill="FFFFFF"/>
        <w:spacing w:after="150" w:line="240" w:lineRule="auto"/>
        <w:rPr>
          <w:rFonts w:ascii="Arial" w:eastAsia="Times New Roman" w:hAnsi="Arial" w:cs="Arial"/>
          <w:b/>
          <w:bCs/>
          <w:color w:val="0B0C0C"/>
          <w:kern w:val="0"/>
          <w:sz w:val="24"/>
          <w:szCs w:val="24"/>
          <w:u w:val="single"/>
          <w:lang w:eastAsia="en-GB"/>
          <w14:ligatures w14:val="none"/>
        </w:rPr>
      </w:pPr>
      <w:r w:rsidRPr="00303776">
        <w:rPr>
          <w:rFonts w:ascii="Arial" w:eastAsia="Times New Roman" w:hAnsi="Arial" w:cs="Arial"/>
          <w:b/>
          <w:bCs/>
          <w:color w:val="0B0C0C"/>
          <w:kern w:val="0"/>
          <w:sz w:val="24"/>
          <w:szCs w:val="24"/>
          <w:u w:val="single"/>
          <w:lang w:eastAsia="en-GB"/>
          <w14:ligatures w14:val="none"/>
        </w:rPr>
        <w:t>Step</w:t>
      </w:r>
      <w:r w:rsidR="00B730E4" w:rsidRPr="00303776">
        <w:rPr>
          <w:rFonts w:ascii="Arial" w:eastAsia="Times New Roman" w:hAnsi="Arial" w:cs="Arial"/>
          <w:b/>
          <w:bCs/>
          <w:color w:val="0B0C0C"/>
          <w:kern w:val="0"/>
          <w:sz w:val="24"/>
          <w:szCs w:val="24"/>
          <w:u w:val="single"/>
          <w:lang w:eastAsia="en-GB"/>
          <w14:ligatures w14:val="none"/>
        </w:rPr>
        <w:t xml:space="preserve"> </w:t>
      </w:r>
      <w:r w:rsidR="009021C6">
        <w:rPr>
          <w:rFonts w:ascii="Arial" w:eastAsia="Times New Roman" w:hAnsi="Arial" w:cs="Arial"/>
          <w:b/>
          <w:bCs/>
          <w:color w:val="0B0C0C"/>
          <w:kern w:val="0"/>
          <w:sz w:val="24"/>
          <w:szCs w:val="24"/>
          <w:u w:val="single"/>
          <w:lang w:eastAsia="en-GB"/>
          <w14:ligatures w14:val="none"/>
        </w:rPr>
        <w:t>5</w:t>
      </w:r>
      <w:r w:rsidR="00E12D26" w:rsidRPr="00303776">
        <w:rPr>
          <w:rFonts w:ascii="Arial" w:eastAsia="Times New Roman" w:hAnsi="Arial" w:cs="Arial"/>
          <w:b/>
          <w:bCs/>
          <w:color w:val="0B0C0C"/>
          <w:kern w:val="0"/>
          <w:sz w:val="24"/>
          <w:szCs w:val="24"/>
          <w:u w:val="single"/>
          <w:lang w:eastAsia="en-GB"/>
          <w14:ligatures w14:val="none"/>
        </w:rPr>
        <w:t xml:space="preserve"> - identify if the release or development of the assessment area/s would fundamentally undermine the five Green Belt purposes (taken together) of the remaining Green Belt when considered across the area of the plan</w:t>
      </w:r>
    </w:p>
    <w:p w14:paraId="37D4C8E0" w14:textId="132DAE6A" w:rsidR="001D6727" w:rsidRDefault="00E12D26" w:rsidP="00AD2CFB">
      <w:pPr>
        <w:shd w:val="clear" w:color="auto" w:fill="FFFFFF"/>
        <w:spacing w:after="150" w:line="240" w:lineRule="auto"/>
        <w:ind w:left="709" w:hanging="709"/>
        <w:rPr>
          <w:rFonts w:ascii="Arial" w:eastAsia="Times New Roman" w:hAnsi="Arial" w:cs="Arial"/>
          <w:color w:val="0B0C0C"/>
          <w:kern w:val="0"/>
          <w:sz w:val="24"/>
          <w:szCs w:val="24"/>
          <w:lang w:eastAsia="en-GB"/>
          <w14:ligatures w14:val="none"/>
        </w:rPr>
      </w:pPr>
      <w:r w:rsidRPr="003C5F7B">
        <w:rPr>
          <w:rFonts w:ascii="Arial" w:eastAsia="Times New Roman" w:hAnsi="Arial" w:cs="Arial"/>
          <w:color w:val="0B0C0C"/>
          <w:kern w:val="0"/>
          <w:sz w:val="24"/>
          <w:szCs w:val="24"/>
          <w:lang w:eastAsia="en-GB"/>
          <w14:ligatures w14:val="none"/>
        </w:rPr>
        <w:t>5.</w:t>
      </w:r>
      <w:r>
        <w:rPr>
          <w:rFonts w:ascii="Arial" w:eastAsia="Times New Roman" w:hAnsi="Arial" w:cs="Arial"/>
          <w:color w:val="0B0C0C"/>
          <w:kern w:val="0"/>
          <w:sz w:val="24"/>
          <w:szCs w:val="24"/>
          <w:lang w:eastAsia="en-GB"/>
          <w14:ligatures w14:val="none"/>
        </w:rPr>
        <w:t>1</w:t>
      </w:r>
      <w:r w:rsidR="00AD2CFB">
        <w:rPr>
          <w:rFonts w:ascii="Arial" w:eastAsia="Times New Roman" w:hAnsi="Arial" w:cs="Arial"/>
          <w:color w:val="0B0C0C"/>
          <w:kern w:val="0"/>
          <w:sz w:val="24"/>
          <w:szCs w:val="24"/>
          <w:lang w:eastAsia="en-GB"/>
          <w14:ligatures w14:val="none"/>
        </w:rPr>
        <w:t>6</w:t>
      </w:r>
      <w:r w:rsidRPr="003C5F7B">
        <w:rPr>
          <w:rFonts w:ascii="Arial" w:eastAsia="Times New Roman" w:hAnsi="Arial" w:cs="Arial"/>
          <w:color w:val="0B0C0C"/>
          <w:kern w:val="0"/>
          <w:sz w:val="24"/>
          <w:szCs w:val="24"/>
          <w:lang w:eastAsia="en-GB"/>
          <w14:ligatures w14:val="none"/>
        </w:rPr>
        <w:tab/>
      </w:r>
      <w:r w:rsidR="00627A4D">
        <w:rPr>
          <w:rFonts w:ascii="Arial" w:eastAsia="Times New Roman" w:hAnsi="Arial" w:cs="Arial"/>
          <w:color w:val="0B0C0C"/>
          <w:kern w:val="0"/>
          <w:sz w:val="24"/>
          <w:szCs w:val="24"/>
          <w:lang w:eastAsia="en-GB"/>
          <w14:ligatures w14:val="none"/>
        </w:rPr>
        <w:t>This step would only apply to extremely large sites (</w:t>
      </w:r>
      <w:r w:rsidR="00731192">
        <w:rPr>
          <w:rFonts w:ascii="Arial" w:eastAsia="Times New Roman" w:hAnsi="Arial" w:cs="Arial"/>
          <w:color w:val="0B0C0C"/>
          <w:kern w:val="0"/>
          <w:sz w:val="24"/>
          <w:szCs w:val="24"/>
          <w:lang w:eastAsia="en-GB"/>
          <w14:ligatures w14:val="none"/>
        </w:rPr>
        <w:t xml:space="preserve">of more than </w:t>
      </w:r>
      <w:r w:rsidR="00731192" w:rsidRPr="001A1206">
        <w:rPr>
          <w:rFonts w:ascii="Arial" w:eastAsia="Times New Roman" w:hAnsi="Arial" w:cs="Arial"/>
          <w:color w:val="0B0C0C"/>
          <w:kern w:val="0"/>
          <w:sz w:val="24"/>
          <w:szCs w:val="24"/>
          <w:lang w:eastAsia="en-GB"/>
          <w14:ligatures w14:val="none"/>
        </w:rPr>
        <w:t>2,000</w:t>
      </w:r>
      <w:r w:rsidR="00731192">
        <w:rPr>
          <w:rFonts w:ascii="Arial" w:eastAsia="Times New Roman" w:hAnsi="Arial" w:cs="Arial"/>
          <w:color w:val="0B0C0C"/>
          <w:kern w:val="0"/>
          <w:sz w:val="24"/>
          <w:szCs w:val="24"/>
          <w:lang w:eastAsia="en-GB"/>
          <w14:ligatures w14:val="none"/>
        </w:rPr>
        <w:t xml:space="preserve"> dwellings</w:t>
      </w:r>
      <w:r w:rsidR="008E14D1">
        <w:rPr>
          <w:rFonts w:ascii="Arial" w:eastAsia="Times New Roman" w:hAnsi="Arial" w:cs="Arial"/>
          <w:color w:val="0B0C0C"/>
          <w:kern w:val="0"/>
          <w:sz w:val="24"/>
          <w:szCs w:val="24"/>
          <w:lang w:eastAsia="en-GB"/>
          <w14:ligatures w14:val="none"/>
        </w:rPr>
        <w:t xml:space="preserve"> or commercial floorspace of more than 25 hectares</w:t>
      </w:r>
      <w:r w:rsidR="00731192">
        <w:rPr>
          <w:rFonts w:ascii="Arial" w:eastAsia="Times New Roman" w:hAnsi="Arial" w:cs="Arial"/>
          <w:color w:val="0B0C0C"/>
          <w:kern w:val="0"/>
          <w:sz w:val="24"/>
          <w:szCs w:val="24"/>
          <w:lang w:eastAsia="en-GB"/>
          <w14:ligatures w14:val="none"/>
        </w:rPr>
        <w:t xml:space="preserve">) which have the potential to undermine the five Green Belt purposes when considered across the area of the plan.  </w:t>
      </w:r>
    </w:p>
    <w:p w14:paraId="06C58A6C" w14:textId="47E8C381" w:rsidR="00E12D26" w:rsidRPr="003C5F7B" w:rsidRDefault="00E12D26" w:rsidP="00E12D26">
      <w:pPr>
        <w:shd w:val="clear" w:color="auto" w:fill="FFFFFF"/>
        <w:spacing w:after="150" w:line="240" w:lineRule="auto"/>
        <w:ind w:left="709" w:hanging="709"/>
        <w:rPr>
          <w:rFonts w:ascii="Arial" w:eastAsia="Times New Roman" w:hAnsi="Arial" w:cs="Arial"/>
          <w:color w:val="0B0C0C"/>
          <w:kern w:val="0"/>
          <w:sz w:val="24"/>
          <w:szCs w:val="24"/>
          <w:lang w:eastAsia="en-GB"/>
          <w14:ligatures w14:val="none"/>
        </w:rPr>
      </w:pPr>
      <w:r>
        <w:rPr>
          <w:rFonts w:ascii="Arial" w:eastAsia="Times New Roman" w:hAnsi="Arial" w:cs="Arial"/>
          <w:color w:val="0B0C0C"/>
          <w:kern w:val="0"/>
          <w:sz w:val="24"/>
          <w:szCs w:val="24"/>
          <w:lang w:eastAsia="en-GB"/>
          <w14:ligatures w14:val="none"/>
        </w:rPr>
        <w:t xml:space="preserve"> </w:t>
      </w:r>
    </w:p>
    <w:p w14:paraId="2F793B0D" w14:textId="608B5D62" w:rsidR="00A72B1F" w:rsidRPr="00303776" w:rsidRDefault="00731192">
      <w:pPr>
        <w:rPr>
          <w:rFonts w:ascii="Arial" w:hAnsi="Arial" w:cs="Arial"/>
          <w:b/>
          <w:bCs/>
          <w:color w:val="000000" w:themeColor="text1"/>
          <w:sz w:val="24"/>
          <w:szCs w:val="24"/>
          <w:u w:val="single"/>
        </w:rPr>
      </w:pPr>
      <w:r>
        <w:rPr>
          <w:rFonts w:ascii="Arial" w:hAnsi="Arial" w:cs="Arial"/>
          <w:b/>
          <w:bCs/>
          <w:color w:val="000000" w:themeColor="text1"/>
          <w:sz w:val="24"/>
          <w:szCs w:val="24"/>
          <w:u w:val="single"/>
        </w:rPr>
        <w:t xml:space="preserve">Step 6 – assess the value </w:t>
      </w:r>
      <w:proofErr w:type="gramStart"/>
      <w:r>
        <w:rPr>
          <w:rFonts w:ascii="Arial" w:hAnsi="Arial" w:cs="Arial"/>
          <w:b/>
          <w:bCs/>
          <w:color w:val="000000" w:themeColor="text1"/>
          <w:sz w:val="24"/>
          <w:szCs w:val="24"/>
          <w:u w:val="single"/>
        </w:rPr>
        <w:t xml:space="preserve">of  </w:t>
      </w:r>
      <w:r w:rsidR="001D6727" w:rsidRPr="00303776">
        <w:rPr>
          <w:rFonts w:ascii="Arial" w:hAnsi="Arial" w:cs="Arial"/>
          <w:b/>
          <w:bCs/>
          <w:color w:val="000000" w:themeColor="text1"/>
          <w:sz w:val="24"/>
          <w:szCs w:val="24"/>
          <w:u w:val="single"/>
        </w:rPr>
        <w:t>Green</w:t>
      </w:r>
      <w:proofErr w:type="gramEnd"/>
      <w:r w:rsidR="001D6727" w:rsidRPr="00303776">
        <w:rPr>
          <w:rFonts w:ascii="Arial" w:hAnsi="Arial" w:cs="Arial"/>
          <w:b/>
          <w:bCs/>
          <w:color w:val="000000" w:themeColor="text1"/>
          <w:sz w:val="24"/>
          <w:szCs w:val="24"/>
          <w:u w:val="single"/>
        </w:rPr>
        <w:t xml:space="preserve"> Belt</w:t>
      </w:r>
    </w:p>
    <w:p w14:paraId="7975067F" w14:textId="3B885E84" w:rsidR="001D6727" w:rsidRDefault="00D12713" w:rsidP="00AD2CFB">
      <w:pPr>
        <w:shd w:val="clear" w:color="auto" w:fill="FFFFFF"/>
        <w:spacing w:after="150" w:line="240" w:lineRule="auto"/>
        <w:ind w:left="709" w:hanging="709"/>
        <w:rPr>
          <w:rFonts w:ascii="Arial" w:eastAsia="Times New Roman" w:hAnsi="Arial" w:cs="Arial"/>
          <w:color w:val="0B0C0C"/>
          <w:kern w:val="0"/>
          <w:sz w:val="24"/>
          <w:szCs w:val="24"/>
          <w:lang w:eastAsia="en-GB"/>
          <w14:ligatures w14:val="none"/>
        </w:rPr>
      </w:pPr>
      <w:r>
        <w:rPr>
          <w:rFonts w:ascii="Arial" w:hAnsi="Arial" w:cs="Arial"/>
          <w:sz w:val="24"/>
          <w:szCs w:val="24"/>
        </w:rPr>
        <w:t>5.1</w:t>
      </w:r>
      <w:r w:rsidR="00AD2CFB">
        <w:rPr>
          <w:rFonts w:ascii="Arial" w:hAnsi="Arial" w:cs="Arial"/>
          <w:sz w:val="24"/>
          <w:szCs w:val="24"/>
        </w:rPr>
        <w:t>7</w:t>
      </w:r>
      <w:r>
        <w:rPr>
          <w:rFonts w:ascii="Arial" w:hAnsi="Arial" w:cs="Arial"/>
          <w:sz w:val="24"/>
          <w:szCs w:val="24"/>
        </w:rPr>
        <w:tab/>
      </w:r>
      <w:r w:rsidR="001D6727">
        <w:rPr>
          <w:rFonts w:ascii="Arial" w:hAnsi="Arial" w:cs="Arial"/>
          <w:sz w:val="24"/>
          <w:szCs w:val="24"/>
        </w:rPr>
        <w:t>Following the completion of steps 1-5 above, any land that is not identified as grey belt will be further assessed against purposes (c) and (e)</w:t>
      </w:r>
      <w:r w:rsidR="00AD2CFB">
        <w:rPr>
          <w:rFonts w:ascii="Arial" w:hAnsi="Arial" w:cs="Arial"/>
          <w:sz w:val="24"/>
          <w:szCs w:val="24"/>
        </w:rPr>
        <w:t xml:space="preserve"> in accordance with the Assessment Matrix (at </w:t>
      </w:r>
      <w:r w:rsidR="00AD2CFB" w:rsidRPr="00AD2CFB">
        <w:rPr>
          <w:rFonts w:ascii="Arial" w:hAnsi="Arial" w:cs="Arial"/>
          <w:b/>
          <w:bCs/>
          <w:sz w:val="24"/>
          <w:szCs w:val="24"/>
        </w:rPr>
        <w:t>Appendix 2</w:t>
      </w:r>
      <w:r w:rsidR="00AD2CFB">
        <w:rPr>
          <w:rFonts w:ascii="Arial" w:hAnsi="Arial" w:cs="Arial"/>
          <w:sz w:val="24"/>
          <w:szCs w:val="24"/>
        </w:rPr>
        <w:t>)</w:t>
      </w:r>
      <w:r w:rsidR="001D6727">
        <w:rPr>
          <w:rFonts w:ascii="Arial" w:hAnsi="Arial" w:cs="Arial"/>
          <w:sz w:val="24"/>
          <w:szCs w:val="24"/>
        </w:rPr>
        <w:t xml:space="preserve">.  </w:t>
      </w:r>
      <w:r w:rsidR="001D6727">
        <w:rPr>
          <w:rFonts w:ascii="Arial" w:eastAsia="Times New Roman" w:hAnsi="Arial" w:cs="Arial"/>
          <w:color w:val="0B0C0C"/>
          <w:kern w:val="0"/>
          <w:sz w:val="24"/>
          <w:szCs w:val="24"/>
          <w:lang w:eastAsia="en-GB"/>
          <w14:ligatures w14:val="none"/>
        </w:rPr>
        <w:t>A score will be applied</w:t>
      </w:r>
      <w:r>
        <w:rPr>
          <w:rFonts w:ascii="Arial" w:eastAsia="Times New Roman" w:hAnsi="Arial" w:cs="Arial"/>
          <w:color w:val="0B0C0C"/>
          <w:kern w:val="0"/>
          <w:sz w:val="24"/>
          <w:szCs w:val="24"/>
          <w:lang w:eastAsia="en-GB"/>
          <w14:ligatures w14:val="none"/>
        </w:rPr>
        <w:t xml:space="preserve"> </w:t>
      </w:r>
      <w:proofErr w:type="gramStart"/>
      <w:r>
        <w:rPr>
          <w:rFonts w:ascii="Arial" w:eastAsia="Times New Roman" w:hAnsi="Arial" w:cs="Arial"/>
          <w:color w:val="0B0C0C"/>
          <w:kern w:val="0"/>
          <w:sz w:val="24"/>
          <w:szCs w:val="24"/>
          <w:lang w:eastAsia="en-GB"/>
          <w14:ligatures w14:val="none"/>
        </w:rPr>
        <w:t>in order to</w:t>
      </w:r>
      <w:proofErr w:type="gramEnd"/>
      <w:r>
        <w:rPr>
          <w:rFonts w:ascii="Arial" w:eastAsia="Times New Roman" w:hAnsi="Arial" w:cs="Arial"/>
          <w:color w:val="0B0C0C"/>
          <w:kern w:val="0"/>
          <w:sz w:val="24"/>
          <w:szCs w:val="24"/>
          <w:lang w:eastAsia="en-GB"/>
          <w14:ligatures w14:val="none"/>
        </w:rPr>
        <w:t xml:space="preserve"> be able to assess the relative value of the remaining Green Belt</w:t>
      </w:r>
      <w:r w:rsidR="00531D31">
        <w:rPr>
          <w:rFonts w:ascii="Arial" w:eastAsia="Times New Roman" w:hAnsi="Arial" w:cs="Arial"/>
          <w:color w:val="0B0C0C"/>
          <w:kern w:val="0"/>
          <w:sz w:val="24"/>
          <w:szCs w:val="24"/>
          <w:lang w:eastAsia="en-GB"/>
          <w14:ligatures w14:val="none"/>
        </w:rPr>
        <w:t xml:space="preserve">.  </w:t>
      </w:r>
      <w:r w:rsidR="00531D31" w:rsidRPr="00890839">
        <w:rPr>
          <w:rFonts w:ascii="Arial" w:eastAsia="Times New Roman" w:hAnsi="Arial" w:cs="Arial"/>
          <w:color w:val="0B0C0C"/>
          <w:kern w:val="0"/>
          <w:sz w:val="24"/>
          <w:szCs w:val="24"/>
          <w:lang w:eastAsia="en-GB"/>
          <w14:ligatures w14:val="none"/>
        </w:rPr>
        <w:t xml:space="preserve">A </w:t>
      </w:r>
      <w:r w:rsidR="001D6727" w:rsidRPr="00890839">
        <w:rPr>
          <w:rFonts w:ascii="Arial" w:eastAsia="Times New Roman" w:hAnsi="Arial" w:cs="Arial"/>
          <w:color w:val="0B0C0C"/>
          <w:kern w:val="0"/>
          <w:sz w:val="24"/>
          <w:szCs w:val="24"/>
          <w:lang w:eastAsia="en-GB"/>
          <w14:ligatures w14:val="none"/>
        </w:rPr>
        <w:t xml:space="preserve">strong contribution will score </w:t>
      </w:r>
      <w:r w:rsidR="0064215C">
        <w:rPr>
          <w:rFonts w:ascii="Arial" w:eastAsia="Times New Roman" w:hAnsi="Arial" w:cs="Arial"/>
          <w:color w:val="0B0C0C"/>
          <w:kern w:val="0"/>
          <w:sz w:val="24"/>
          <w:szCs w:val="24"/>
          <w:lang w:eastAsia="en-GB"/>
          <w14:ligatures w14:val="none"/>
        </w:rPr>
        <w:t>5</w:t>
      </w:r>
      <w:r w:rsidR="001D6727" w:rsidRPr="00890839">
        <w:rPr>
          <w:rFonts w:ascii="Arial" w:eastAsia="Times New Roman" w:hAnsi="Arial" w:cs="Arial"/>
          <w:color w:val="0B0C0C"/>
          <w:kern w:val="0"/>
          <w:sz w:val="24"/>
          <w:szCs w:val="24"/>
          <w:lang w:eastAsia="en-GB"/>
          <w14:ligatures w14:val="none"/>
        </w:rPr>
        <w:t xml:space="preserve">, a moderate contribution will score </w:t>
      </w:r>
      <w:r w:rsidR="0064215C">
        <w:rPr>
          <w:rFonts w:ascii="Arial" w:eastAsia="Times New Roman" w:hAnsi="Arial" w:cs="Arial"/>
          <w:color w:val="0B0C0C"/>
          <w:kern w:val="0"/>
          <w:sz w:val="24"/>
          <w:szCs w:val="24"/>
          <w:lang w:eastAsia="en-GB"/>
          <w14:ligatures w14:val="none"/>
        </w:rPr>
        <w:t>3</w:t>
      </w:r>
      <w:r w:rsidR="001D6727" w:rsidRPr="00890839">
        <w:rPr>
          <w:rFonts w:ascii="Arial" w:eastAsia="Times New Roman" w:hAnsi="Arial" w:cs="Arial"/>
          <w:color w:val="0B0C0C"/>
          <w:kern w:val="0"/>
          <w:sz w:val="24"/>
          <w:szCs w:val="24"/>
          <w:lang w:eastAsia="en-GB"/>
          <w14:ligatures w14:val="none"/>
        </w:rPr>
        <w:t xml:space="preserve"> and a weak/</w:t>
      </w:r>
      <w:proofErr w:type="gramStart"/>
      <w:r w:rsidR="001D6727" w:rsidRPr="00890839">
        <w:rPr>
          <w:rFonts w:ascii="Arial" w:eastAsia="Times New Roman" w:hAnsi="Arial" w:cs="Arial"/>
          <w:color w:val="0B0C0C"/>
          <w:kern w:val="0"/>
          <w:sz w:val="24"/>
          <w:szCs w:val="24"/>
          <w:lang w:eastAsia="en-GB"/>
          <w14:ligatures w14:val="none"/>
        </w:rPr>
        <w:t>none</w:t>
      </w:r>
      <w:proofErr w:type="gramEnd"/>
      <w:r w:rsidR="001D6727" w:rsidRPr="00890839">
        <w:rPr>
          <w:rFonts w:ascii="Arial" w:eastAsia="Times New Roman" w:hAnsi="Arial" w:cs="Arial"/>
          <w:color w:val="0B0C0C"/>
          <w:kern w:val="0"/>
          <w:sz w:val="24"/>
          <w:szCs w:val="24"/>
          <w:lang w:eastAsia="en-GB"/>
          <w14:ligatures w14:val="none"/>
        </w:rPr>
        <w:t xml:space="preserve"> contribution will score 1.</w:t>
      </w:r>
      <w:r w:rsidR="001D6727">
        <w:rPr>
          <w:rFonts w:ascii="Arial" w:eastAsia="Times New Roman" w:hAnsi="Arial" w:cs="Arial"/>
          <w:color w:val="0B0C0C"/>
          <w:kern w:val="0"/>
          <w:sz w:val="24"/>
          <w:szCs w:val="24"/>
          <w:lang w:eastAsia="en-GB"/>
          <w14:ligatures w14:val="none"/>
        </w:rPr>
        <w:t xml:space="preserve">  Justification text will be included to explain the score given to each purpose, alongside an overall score for the assessment area (being the sum of the scores for each of the purposes).  </w:t>
      </w:r>
    </w:p>
    <w:p w14:paraId="19871F0A" w14:textId="36C77089" w:rsidR="001D6727" w:rsidRDefault="001D6727" w:rsidP="001D6727">
      <w:pPr>
        <w:shd w:val="clear" w:color="auto" w:fill="FFFFFF"/>
        <w:spacing w:after="150" w:line="240" w:lineRule="auto"/>
        <w:ind w:left="709" w:hanging="709"/>
        <w:rPr>
          <w:rFonts w:ascii="Arial" w:hAnsi="Arial" w:cs="Arial"/>
          <w:sz w:val="24"/>
          <w:szCs w:val="24"/>
        </w:rPr>
      </w:pPr>
      <w:r>
        <w:rPr>
          <w:rFonts w:ascii="Arial" w:hAnsi="Arial" w:cs="Arial"/>
          <w:sz w:val="24"/>
          <w:szCs w:val="24"/>
        </w:rPr>
        <w:t>5.1</w:t>
      </w:r>
      <w:r w:rsidR="00AD2CFB">
        <w:rPr>
          <w:rFonts w:ascii="Arial" w:hAnsi="Arial" w:cs="Arial"/>
          <w:sz w:val="24"/>
          <w:szCs w:val="24"/>
        </w:rPr>
        <w:t>8</w:t>
      </w:r>
      <w:r>
        <w:rPr>
          <w:rFonts w:ascii="Arial" w:hAnsi="Arial" w:cs="Arial"/>
          <w:sz w:val="24"/>
          <w:szCs w:val="24"/>
        </w:rPr>
        <w:tab/>
      </w:r>
      <w:r w:rsidRPr="001B1065">
        <w:rPr>
          <w:rFonts w:ascii="Arial" w:hAnsi="Arial" w:cs="Arial"/>
          <w:sz w:val="24"/>
          <w:szCs w:val="24"/>
        </w:rPr>
        <w:t xml:space="preserve">Lower scores mean that </w:t>
      </w:r>
      <w:r>
        <w:rPr>
          <w:rFonts w:ascii="Arial" w:hAnsi="Arial" w:cs="Arial"/>
          <w:sz w:val="24"/>
          <w:szCs w:val="24"/>
        </w:rPr>
        <w:t>an assessment area</w:t>
      </w:r>
      <w:r w:rsidRPr="001B1065">
        <w:rPr>
          <w:rFonts w:ascii="Arial" w:hAnsi="Arial" w:cs="Arial"/>
          <w:sz w:val="24"/>
          <w:szCs w:val="24"/>
        </w:rPr>
        <w:t xml:space="preserve"> is, overall, less valuable in terms of the Green Belt. Whilst </w:t>
      </w:r>
      <w:r>
        <w:rPr>
          <w:rFonts w:ascii="Arial" w:hAnsi="Arial" w:cs="Arial"/>
          <w:sz w:val="24"/>
          <w:szCs w:val="24"/>
        </w:rPr>
        <w:t>an assessment area</w:t>
      </w:r>
      <w:r w:rsidRPr="001B1065">
        <w:rPr>
          <w:rFonts w:ascii="Arial" w:hAnsi="Arial" w:cs="Arial"/>
          <w:sz w:val="24"/>
          <w:szCs w:val="24"/>
        </w:rPr>
        <w:t xml:space="preserve"> may have a low </w:t>
      </w:r>
      <w:r w:rsidRPr="005926DF">
        <w:rPr>
          <w:rFonts w:ascii="Arial" w:hAnsi="Arial" w:cs="Arial"/>
          <w:sz w:val="24"/>
          <w:szCs w:val="24"/>
          <w:u w:val="single"/>
        </w:rPr>
        <w:t>overall</w:t>
      </w:r>
      <w:r w:rsidRPr="001B1065">
        <w:rPr>
          <w:rFonts w:ascii="Arial" w:hAnsi="Arial" w:cs="Arial"/>
          <w:sz w:val="24"/>
          <w:szCs w:val="24"/>
        </w:rPr>
        <w:t xml:space="preserve"> score, it may score particularly highly for one single Green Belt purpose. In these instances, it could </w:t>
      </w:r>
      <w:proofErr w:type="gramStart"/>
      <w:r w:rsidRPr="001B1065">
        <w:rPr>
          <w:rFonts w:ascii="Arial" w:hAnsi="Arial" w:cs="Arial"/>
          <w:sz w:val="24"/>
          <w:szCs w:val="24"/>
        </w:rPr>
        <w:t>be considered to be</w:t>
      </w:r>
      <w:proofErr w:type="gramEnd"/>
      <w:r w:rsidRPr="001B1065">
        <w:rPr>
          <w:rFonts w:ascii="Arial" w:hAnsi="Arial" w:cs="Arial"/>
          <w:sz w:val="24"/>
          <w:szCs w:val="24"/>
        </w:rPr>
        <w:t xml:space="preserve"> of sufficient importance on that one single purpose for the </w:t>
      </w:r>
      <w:r>
        <w:rPr>
          <w:rFonts w:ascii="Arial" w:hAnsi="Arial" w:cs="Arial"/>
          <w:sz w:val="24"/>
          <w:szCs w:val="24"/>
        </w:rPr>
        <w:t>assessment area</w:t>
      </w:r>
      <w:r w:rsidRPr="001B1065">
        <w:rPr>
          <w:rFonts w:ascii="Arial" w:hAnsi="Arial" w:cs="Arial"/>
          <w:sz w:val="24"/>
          <w:szCs w:val="24"/>
        </w:rPr>
        <w:t xml:space="preserve"> to be retained as Green Belt. It should be noted that the assessments only form one part of the site selection process and decisions regarding whether a site is allocated will be dependent on </w:t>
      </w:r>
      <w:proofErr w:type="gramStart"/>
      <w:r w:rsidRPr="001B1065">
        <w:rPr>
          <w:rFonts w:ascii="Arial" w:hAnsi="Arial" w:cs="Arial"/>
          <w:sz w:val="24"/>
          <w:szCs w:val="24"/>
        </w:rPr>
        <w:t>a number of</w:t>
      </w:r>
      <w:proofErr w:type="gramEnd"/>
      <w:r w:rsidRPr="001B1065">
        <w:rPr>
          <w:rFonts w:ascii="Arial" w:hAnsi="Arial" w:cs="Arial"/>
          <w:sz w:val="24"/>
          <w:szCs w:val="24"/>
        </w:rPr>
        <w:t xml:space="preserve"> other factors</w:t>
      </w:r>
      <w:r w:rsidR="00233629">
        <w:rPr>
          <w:rFonts w:ascii="Arial" w:hAnsi="Arial" w:cs="Arial"/>
          <w:sz w:val="24"/>
          <w:szCs w:val="24"/>
        </w:rPr>
        <w:t xml:space="preserve"> as explained in paragraph </w:t>
      </w:r>
      <w:r w:rsidR="00233629" w:rsidRPr="00AD2CFB">
        <w:rPr>
          <w:rFonts w:ascii="Arial" w:hAnsi="Arial" w:cs="Arial"/>
          <w:sz w:val="24"/>
          <w:szCs w:val="24"/>
        </w:rPr>
        <w:t>4.6</w:t>
      </w:r>
      <w:r w:rsidR="00233629">
        <w:rPr>
          <w:rFonts w:ascii="Arial" w:hAnsi="Arial" w:cs="Arial"/>
          <w:sz w:val="24"/>
          <w:szCs w:val="24"/>
        </w:rPr>
        <w:t xml:space="preserve"> above</w:t>
      </w:r>
      <w:r w:rsidRPr="001B1065">
        <w:rPr>
          <w:rFonts w:ascii="Arial" w:hAnsi="Arial" w:cs="Arial"/>
          <w:sz w:val="24"/>
          <w:szCs w:val="24"/>
        </w:rPr>
        <w:t xml:space="preserve">. </w:t>
      </w:r>
    </w:p>
    <w:p w14:paraId="0F80A991" w14:textId="77777777" w:rsidR="003C0E04" w:rsidRDefault="003C0E04" w:rsidP="001D6727">
      <w:pPr>
        <w:shd w:val="clear" w:color="auto" w:fill="FFFFFF"/>
        <w:spacing w:after="150" w:line="240" w:lineRule="auto"/>
        <w:ind w:left="709" w:hanging="709"/>
        <w:rPr>
          <w:rFonts w:ascii="Arial" w:hAnsi="Arial" w:cs="Arial"/>
          <w:sz w:val="24"/>
          <w:szCs w:val="24"/>
        </w:rPr>
      </w:pPr>
    </w:p>
    <w:p w14:paraId="5275F38E" w14:textId="77777777" w:rsidR="003C0E04" w:rsidRDefault="003C0E04" w:rsidP="001D6727">
      <w:pPr>
        <w:shd w:val="clear" w:color="auto" w:fill="FFFFFF"/>
        <w:spacing w:after="150" w:line="240" w:lineRule="auto"/>
        <w:ind w:left="709" w:hanging="709"/>
        <w:rPr>
          <w:rFonts w:ascii="Arial" w:hAnsi="Arial" w:cs="Arial"/>
          <w:sz w:val="24"/>
          <w:szCs w:val="24"/>
        </w:rPr>
      </w:pPr>
    </w:p>
    <w:p w14:paraId="45457ED3" w14:textId="6FBE817F" w:rsidR="001D6727" w:rsidRDefault="001D6727">
      <w:pPr>
        <w:rPr>
          <w:rFonts w:ascii="Arial" w:hAnsi="Arial" w:cs="Arial"/>
          <w:sz w:val="24"/>
          <w:szCs w:val="24"/>
        </w:rPr>
      </w:pPr>
    </w:p>
    <w:p w14:paraId="78B5C4A8" w14:textId="77777777" w:rsidR="00915835" w:rsidRDefault="00856DD5" w:rsidP="00915835">
      <w:pPr>
        <w:rPr>
          <w:rFonts w:ascii="Arial" w:hAnsi="Arial" w:cs="Arial"/>
          <w:b/>
          <w:bCs/>
          <w:sz w:val="24"/>
          <w:szCs w:val="24"/>
        </w:rPr>
      </w:pPr>
      <w:r>
        <w:rPr>
          <w:rFonts w:ascii="Arial" w:hAnsi="Arial" w:cs="Arial"/>
          <w:sz w:val="24"/>
          <w:szCs w:val="24"/>
        </w:rPr>
        <w:br w:type="page"/>
      </w:r>
      <w:r w:rsidR="00915835">
        <w:rPr>
          <w:rFonts w:ascii="Arial" w:hAnsi="Arial" w:cs="Arial"/>
          <w:b/>
          <w:bCs/>
          <w:sz w:val="24"/>
          <w:szCs w:val="24"/>
        </w:rPr>
        <w:lastRenderedPageBreak/>
        <w:t xml:space="preserve">APPENDIX 1 </w:t>
      </w:r>
    </w:p>
    <w:p w14:paraId="704666C7" w14:textId="77777777" w:rsidR="00915835" w:rsidRDefault="00915835" w:rsidP="00915835">
      <w:pPr>
        <w:rPr>
          <w:rFonts w:ascii="Arial" w:hAnsi="Arial" w:cs="Arial"/>
          <w:b/>
          <w:bCs/>
          <w:sz w:val="24"/>
          <w:szCs w:val="24"/>
        </w:rPr>
      </w:pPr>
      <w:r w:rsidRPr="00AF633F">
        <w:rPr>
          <w:rFonts w:ascii="Arial" w:hAnsi="Arial" w:cs="Arial"/>
          <w:b/>
          <w:bCs/>
          <w:sz w:val="24"/>
          <w:szCs w:val="24"/>
        </w:rPr>
        <w:t>Context Map</w:t>
      </w:r>
      <w:r>
        <w:rPr>
          <w:rFonts w:ascii="Arial" w:hAnsi="Arial" w:cs="Arial"/>
          <w:b/>
          <w:bCs/>
          <w:sz w:val="24"/>
          <w:szCs w:val="24"/>
        </w:rPr>
        <w:t xml:space="preserve"> - s</w:t>
      </w:r>
      <w:r w:rsidRPr="00AF633F">
        <w:rPr>
          <w:rFonts w:ascii="Arial" w:hAnsi="Arial" w:cs="Arial"/>
          <w:b/>
          <w:bCs/>
          <w:sz w:val="24"/>
          <w:szCs w:val="24"/>
        </w:rPr>
        <w:t>howing the extent of the Nottingham-Derby Green Belt</w:t>
      </w:r>
    </w:p>
    <w:p w14:paraId="57360976" w14:textId="5DDAA00A" w:rsidR="009E01A8" w:rsidRPr="009E01A8" w:rsidRDefault="009E01A8" w:rsidP="009E01A8">
      <w:pPr>
        <w:rPr>
          <w:rFonts w:ascii="Arial" w:hAnsi="Arial" w:cs="Arial"/>
          <w:b/>
          <w:bCs/>
        </w:rPr>
      </w:pPr>
      <w:r w:rsidRPr="009E01A8">
        <w:rPr>
          <w:rFonts w:ascii="Arial" w:hAnsi="Arial" w:cs="Arial"/>
          <w:b/>
          <w:bCs/>
          <w:noProof/>
        </w:rPr>
        <w:drawing>
          <wp:inline distT="0" distB="0" distL="0" distR="0" wp14:anchorId="7F3CB699" wp14:editId="5D505A34">
            <wp:extent cx="6361959" cy="5457825"/>
            <wp:effectExtent l="0" t="0" r="1270" b="0"/>
            <wp:docPr id="1756478920" name="Picture 1"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78920" name="Picture 1" descr="A map of a forest&#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79577" cy="5472940"/>
                    </a:xfrm>
                    <a:prstGeom prst="rect">
                      <a:avLst/>
                    </a:prstGeom>
                    <a:noFill/>
                    <a:ln>
                      <a:noFill/>
                    </a:ln>
                  </pic:spPr>
                </pic:pic>
              </a:graphicData>
            </a:graphic>
          </wp:inline>
        </w:drawing>
      </w:r>
    </w:p>
    <w:p w14:paraId="54DA38FF" w14:textId="4F15D3B3" w:rsidR="00915835" w:rsidRDefault="00915835">
      <w:pPr>
        <w:rPr>
          <w:rFonts w:ascii="Arial" w:hAnsi="Arial" w:cs="Arial"/>
          <w:b/>
          <w:bCs/>
          <w:sz w:val="24"/>
          <w:szCs w:val="24"/>
        </w:rPr>
      </w:pPr>
    </w:p>
    <w:p w14:paraId="060496C4" w14:textId="77777777" w:rsidR="009E01A8" w:rsidRDefault="009E01A8">
      <w:pPr>
        <w:rPr>
          <w:rFonts w:ascii="Arial" w:hAnsi="Arial" w:cs="Arial"/>
          <w:b/>
          <w:bCs/>
          <w:sz w:val="24"/>
          <w:szCs w:val="24"/>
        </w:rPr>
      </w:pPr>
      <w:r>
        <w:rPr>
          <w:rFonts w:ascii="Arial" w:hAnsi="Arial" w:cs="Arial"/>
          <w:b/>
          <w:bCs/>
          <w:sz w:val="24"/>
          <w:szCs w:val="24"/>
        </w:rPr>
        <w:br w:type="page"/>
      </w:r>
    </w:p>
    <w:p w14:paraId="000A47A2" w14:textId="03343C93" w:rsidR="000A4227" w:rsidRDefault="000A4227" w:rsidP="003C5F7B">
      <w:pPr>
        <w:rPr>
          <w:rFonts w:ascii="Arial" w:hAnsi="Arial" w:cs="Arial"/>
          <w:b/>
          <w:bCs/>
          <w:sz w:val="24"/>
          <w:szCs w:val="24"/>
        </w:rPr>
      </w:pPr>
      <w:r>
        <w:rPr>
          <w:rFonts w:ascii="Arial" w:hAnsi="Arial" w:cs="Arial"/>
          <w:b/>
          <w:bCs/>
          <w:sz w:val="24"/>
          <w:szCs w:val="24"/>
        </w:rPr>
        <w:lastRenderedPageBreak/>
        <w:t>APPENDIX</w:t>
      </w:r>
      <w:r w:rsidRPr="003C5F7B">
        <w:rPr>
          <w:rFonts w:ascii="Arial" w:hAnsi="Arial" w:cs="Arial"/>
          <w:b/>
          <w:bCs/>
          <w:sz w:val="24"/>
          <w:szCs w:val="24"/>
        </w:rPr>
        <w:t xml:space="preserve"> </w:t>
      </w:r>
      <w:r w:rsidR="00915835">
        <w:rPr>
          <w:rFonts w:ascii="Arial" w:hAnsi="Arial" w:cs="Arial"/>
          <w:b/>
          <w:bCs/>
          <w:sz w:val="24"/>
          <w:szCs w:val="24"/>
        </w:rPr>
        <w:t>2</w:t>
      </w:r>
    </w:p>
    <w:p w14:paraId="3AB23A6E" w14:textId="4DC07DD8" w:rsidR="003C5F7B" w:rsidRPr="003C5F7B" w:rsidRDefault="003C5F7B" w:rsidP="003C5F7B">
      <w:pPr>
        <w:rPr>
          <w:rFonts w:ascii="Arial" w:hAnsi="Arial" w:cs="Arial"/>
          <w:b/>
          <w:bCs/>
          <w:sz w:val="24"/>
          <w:szCs w:val="24"/>
        </w:rPr>
      </w:pPr>
      <w:r w:rsidRPr="003C5F7B">
        <w:rPr>
          <w:rFonts w:ascii="Arial" w:hAnsi="Arial" w:cs="Arial"/>
          <w:b/>
          <w:bCs/>
          <w:sz w:val="24"/>
          <w:szCs w:val="24"/>
        </w:rPr>
        <w:t>Assessment Matrix</w:t>
      </w:r>
    </w:p>
    <w:p w14:paraId="2E156195" w14:textId="4BC5CF37" w:rsidR="00807767" w:rsidRPr="001155A7" w:rsidRDefault="00807767" w:rsidP="00807767">
      <w:pPr>
        <w:rPr>
          <w:rFonts w:ascii="Arial" w:hAnsi="Arial" w:cs="Arial"/>
          <w:sz w:val="24"/>
          <w:szCs w:val="24"/>
        </w:rPr>
      </w:pPr>
      <w:r w:rsidRPr="001155A7">
        <w:rPr>
          <w:rFonts w:ascii="Arial" w:hAnsi="Arial" w:cs="Arial"/>
          <w:sz w:val="24"/>
          <w:szCs w:val="24"/>
        </w:rPr>
        <w:t xml:space="preserve">The Matrix provides a grading system for </w:t>
      </w:r>
      <w:r w:rsidR="00731192">
        <w:rPr>
          <w:rFonts w:ascii="Arial" w:hAnsi="Arial" w:cs="Arial"/>
          <w:sz w:val="24"/>
          <w:szCs w:val="24"/>
        </w:rPr>
        <w:t>all assessment areas</w:t>
      </w:r>
      <w:r w:rsidRPr="001155A7">
        <w:rPr>
          <w:rFonts w:ascii="Arial" w:hAnsi="Arial" w:cs="Arial"/>
          <w:sz w:val="24"/>
          <w:szCs w:val="24"/>
        </w:rPr>
        <w:t xml:space="preserve">. </w:t>
      </w:r>
    </w:p>
    <w:p w14:paraId="054D680D" w14:textId="6E49DECF" w:rsidR="00807767" w:rsidRPr="001155A7" w:rsidRDefault="00807767" w:rsidP="00807767">
      <w:pPr>
        <w:rPr>
          <w:rFonts w:ascii="Arial" w:hAnsi="Arial" w:cs="Arial"/>
          <w:sz w:val="24"/>
          <w:szCs w:val="24"/>
        </w:rPr>
      </w:pPr>
      <w:r w:rsidRPr="001155A7">
        <w:rPr>
          <w:rFonts w:ascii="Arial" w:hAnsi="Arial" w:cs="Arial"/>
          <w:sz w:val="24"/>
          <w:szCs w:val="24"/>
        </w:rPr>
        <w:t xml:space="preserve">Higher scoring </w:t>
      </w:r>
      <w:r w:rsidR="00731192">
        <w:rPr>
          <w:rFonts w:ascii="Arial" w:hAnsi="Arial" w:cs="Arial"/>
          <w:sz w:val="24"/>
          <w:szCs w:val="24"/>
        </w:rPr>
        <w:t>assessment areas</w:t>
      </w:r>
      <w:r w:rsidRPr="001155A7">
        <w:rPr>
          <w:rFonts w:ascii="Arial" w:hAnsi="Arial" w:cs="Arial"/>
          <w:sz w:val="24"/>
          <w:szCs w:val="24"/>
        </w:rPr>
        <w:t xml:space="preserve"> are generally the most important in Green Belt terms. </w:t>
      </w:r>
    </w:p>
    <w:p w14:paraId="059D62D0" w14:textId="77777777" w:rsidR="00807767" w:rsidRPr="000A66AE" w:rsidRDefault="00807767" w:rsidP="00807767">
      <w:pPr>
        <w:rPr>
          <w:rFonts w:ascii="Arial" w:hAnsi="Arial" w:cs="Arial"/>
          <w:sz w:val="24"/>
          <w:szCs w:val="24"/>
          <w:highlight w:val="yellow"/>
        </w:rPr>
      </w:pPr>
    </w:p>
    <w:tbl>
      <w:tblPr>
        <w:tblStyle w:val="TableGrid"/>
        <w:tblW w:w="9918" w:type="dxa"/>
        <w:tblLook w:val="04A0" w:firstRow="1" w:lastRow="0" w:firstColumn="1" w:lastColumn="0" w:noHBand="0" w:noVBand="1"/>
      </w:tblPr>
      <w:tblGrid>
        <w:gridCol w:w="2083"/>
        <w:gridCol w:w="2432"/>
        <w:gridCol w:w="2454"/>
        <w:gridCol w:w="2949"/>
      </w:tblGrid>
      <w:tr w:rsidR="00623D71" w14:paraId="33119BC7" w14:textId="77777777" w:rsidTr="00623D71">
        <w:tc>
          <w:tcPr>
            <w:tcW w:w="2083" w:type="dxa"/>
            <w:vMerge w:val="restart"/>
          </w:tcPr>
          <w:p w14:paraId="01E47FDC" w14:textId="77777777" w:rsidR="00807767" w:rsidRPr="001155A7" w:rsidRDefault="00807767" w:rsidP="005926DF">
            <w:pPr>
              <w:rPr>
                <w:rFonts w:ascii="Arial" w:hAnsi="Arial" w:cs="Arial"/>
                <w:b/>
                <w:bCs/>
                <w:sz w:val="24"/>
                <w:szCs w:val="24"/>
              </w:rPr>
            </w:pPr>
            <w:r w:rsidRPr="001155A7">
              <w:rPr>
                <w:rFonts w:ascii="Arial" w:hAnsi="Arial" w:cs="Arial"/>
                <w:b/>
                <w:bCs/>
                <w:sz w:val="24"/>
                <w:szCs w:val="24"/>
              </w:rPr>
              <w:t>Purpose</w:t>
            </w:r>
          </w:p>
        </w:tc>
        <w:tc>
          <w:tcPr>
            <w:tcW w:w="7835" w:type="dxa"/>
            <w:gridSpan w:val="3"/>
          </w:tcPr>
          <w:p w14:paraId="3609DA89" w14:textId="77777777" w:rsidR="00807767" w:rsidRPr="001155A7" w:rsidRDefault="00807767" w:rsidP="005926DF">
            <w:pPr>
              <w:ind w:left="360"/>
              <w:jc w:val="center"/>
              <w:rPr>
                <w:rFonts w:ascii="Arial" w:hAnsi="Arial" w:cs="Arial"/>
                <w:b/>
                <w:bCs/>
                <w:sz w:val="24"/>
                <w:szCs w:val="24"/>
              </w:rPr>
            </w:pPr>
            <w:r w:rsidRPr="001155A7">
              <w:rPr>
                <w:rFonts w:ascii="Arial" w:hAnsi="Arial" w:cs="Arial"/>
                <w:b/>
                <w:bCs/>
                <w:sz w:val="24"/>
                <w:szCs w:val="24"/>
              </w:rPr>
              <w:t>Illustrative features</w:t>
            </w:r>
          </w:p>
        </w:tc>
      </w:tr>
      <w:tr w:rsidR="00623D71" w14:paraId="08B59F9A" w14:textId="77777777" w:rsidTr="00623D71">
        <w:tc>
          <w:tcPr>
            <w:tcW w:w="2083" w:type="dxa"/>
            <w:vMerge/>
          </w:tcPr>
          <w:p w14:paraId="45920240" w14:textId="77777777" w:rsidR="00807767" w:rsidRPr="001155A7" w:rsidRDefault="00807767" w:rsidP="005926DF">
            <w:pPr>
              <w:rPr>
                <w:rFonts w:ascii="Arial" w:hAnsi="Arial" w:cs="Arial"/>
                <w:b/>
                <w:bCs/>
                <w:sz w:val="24"/>
                <w:szCs w:val="24"/>
              </w:rPr>
            </w:pPr>
          </w:p>
        </w:tc>
        <w:tc>
          <w:tcPr>
            <w:tcW w:w="2432" w:type="dxa"/>
          </w:tcPr>
          <w:p w14:paraId="0D6D2CBE" w14:textId="77777777" w:rsidR="00807767" w:rsidRPr="001155A7" w:rsidRDefault="00807767" w:rsidP="005926DF">
            <w:pPr>
              <w:rPr>
                <w:rFonts w:ascii="Arial" w:hAnsi="Arial" w:cs="Arial"/>
                <w:b/>
                <w:bCs/>
                <w:sz w:val="24"/>
                <w:szCs w:val="24"/>
              </w:rPr>
            </w:pPr>
            <w:r w:rsidRPr="001155A7">
              <w:rPr>
                <w:rFonts w:ascii="Arial" w:hAnsi="Arial" w:cs="Arial"/>
                <w:b/>
                <w:bCs/>
                <w:sz w:val="24"/>
                <w:szCs w:val="24"/>
              </w:rPr>
              <w:t>***** (strong)</w:t>
            </w:r>
          </w:p>
        </w:tc>
        <w:tc>
          <w:tcPr>
            <w:tcW w:w="2454" w:type="dxa"/>
          </w:tcPr>
          <w:p w14:paraId="0C917688" w14:textId="77777777" w:rsidR="00807767" w:rsidRPr="001155A7" w:rsidRDefault="00807767" w:rsidP="005926DF">
            <w:pPr>
              <w:rPr>
                <w:rFonts w:ascii="Arial" w:hAnsi="Arial" w:cs="Arial"/>
                <w:b/>
                <w:bCs/>
                <w:sz w:val="24"/>
                <w:szCs w:val="24"/>
              </w:rPr>
            </w:pPr>
            <w:r w:rsidRPr="001155A7">
              <w:rPr>
                <w:rFonts w:ascii="Arial" w:hAnsi="Arial" w:cs="Arial"/>
                <w:b/>
                <w:bCs/>
                <w:sz w:val="24"/>
                <w:szCs w:val="24"/>
              </w:rPr>
              <w:t>*** (moderate)</w:t>
            </w:r>
          </w:p>
        </w:tc>
        <w:tc>
          <w:tcPr>
            <w:tcW w:w="2949" w:type="dxa"/>
          </w:tcPr>
          <w:p w14:paraId="2AFD3F98" w14:textId="77777777" w:rsidR="00807767" w:rsidRPr="001155A7" w:rsidRDefault="00807767" w:rsidP="005926DF">
            <w:pPr>
              <w:ind w:left="360"/>
              <w:rPr>
                <w:rFonts w:ascii="Arial" w:hAnsi="Arial" w:cs="Arial"/>
                <w:b/>
                <w:bCs/>
                <w:sz w:val="24"/>
                <w:szCs w:val="24"/>
              </w:rPr>
            </w:pPr>
            <w:r w:rsidRPr="001155A7">
              <w:rPr>
                <w:rFonts w:ascii="Arial" w:hAnsi="Arial" w:cs="Arial"/>
                <w:b/>
                <w:bCs/>
                <w:sz w:val="24"/>
                <w:szCs w:val="24"/>
              </w:rPr>
              <w:t>* (weak or none)</w:t>
            </w:r>
          </w:p>
          <w:p w14:paraId="507D7D3D" w14:textId="77777777" w:rsidR="00807767" w:rsidRPr="001155A7" w:rsidRDefault="00807767" w:rsidP="005926DF">
            <w:pPr>
              <w:pStyle w:val="ListParagraph"/>
              <w:rPr>
                <w:rFonts w:ascii="Arial" w:hAnsi="Arial" w:cs="Arial"/>
                <w:b/>
                <w:bCs/>
                <w:sz w:val="24"/>
                <w:szCs w:val="24"/>
              </w:rPr>
            </w:pPr>
          </w:p>
        </w:tc>
      </w:tr>
      <w:tr w:rsidR="00531D31" w14:paraId="7A784D89" w14:textId="77777777" w:rsidTr="00623D71">
        <w:trPr>
          <w:trHeight w:val="558"/>
        </w:trPr>
        <w:tc>
          <w:tcPr>
            <w:tcW w:w="2083" w:type="dxa"/>
          </w:tcPr>
          <w:p w14:paraId="5209AB9A" w14:textId="77777777" w:rsidR="00807767" w:rsidRDefault="00807767" w:rsidP="005926DF">
            <w:pPr>
              <w:rPr>
                <w:rFonts w:ascii="Arial" w:hAnsi="Arial" w:cs="Arial"/>
                <w:sz w:val="24"/>
                <w:szCs w:val="24"/>
              </w:rPr>
            </w:pPr>
            <w:r>
              <w:rPr>
                <w:rFonts w:ascii="Arial" w:hAnsi="Arial" w:cs="Arial"/>
                <w:sz w:val="24"/>
                <w:szCs w:val="24"/>
              </w:rPr>
              <w:t xml:space="preserve">(a) </w:t>
            </w:r>
            <w:r w:rsidRPr="001155A7">
              <w:rPr>
                <w:rFonts w:ascii="Arial" w:hAnsi="Arial" w:cs="Arial"/>
                <w:sz w:val="24"/>
                <w:szCs w:val="24"/>
              </w:rPr>
              <w:t xml:space="preserve">To check the unrestricted sprawl of </w:t>
            </w:r>
            <w:r>
              <w:rPr>
                <w:rFonts w:ascii="Arial" w:hAnsi="Arial" w:cs="Arial"/>
                <w:sz w:val="24"/>
                <w:szCs w:val="24"/>
              </w:rPr>
              <w:t xml:space="preserve">large </w:t>
            </w:r>
            <w:proofErr w:type="gramStart"/>
            <w:r>
              <w:rPr>
                <w:rFonts w:ascii="Arial" w:hAnsi="Arial" w:cs="Arial"/>
                <w:sz w:val="24"/>
                <w:szCs w:val="24"/>
              </w:rPr>
              <w:t>built up</w:t>
            </w:r>
            <w:proofErr w:type="gramEnd"/>
            <w:r>
              <w:rPr>
                <w:rFonts w:ascii="Arial" w:hAnsi="Arial" w:cs="Arial"/>
                <w:sz w:val="24"/>
                <w:szCs w:val="24"/>
              </w:rPr>
              <w:t xml:space="preserve"> areas </w:t>
            </w:r>
          </w:p>
          <w:p w14:paraId="58090597" w14:textId="77777777" w:rsidR="00807767" w:rsidRDefault="00807767" w:rsidP="005926DF">
            <w:pPr>
              <w:rPr>
                <w:rFonts w:ascii="Arial" w:hAnsi="Arial" w:cs="Arial"/>
                <w:sz w:val="24"/>
                <w:szCs w:val="24"/>
              </w:rPr>
            </w:pPr>
          </w:p>
          <w:p w14:paraId="6D28591B" w14:textId="77777777" w:rsidR="00807767" w:rsidRPr="001155A7" w:rsidRDefault="00807767" w:rsidP="005926DF">
            <w:pPr>
              <w:rPr>
                <w:rFonts w:ascii="Arial" w:hAnsi="Arial" w:cs="Arial"/>
                <w:sz w:val="24"/>
                <w:szCs w:val="24"/>
              </w:rPr>
            </w:pPr>
            <w:r>
              <w:rPr>
                <w:rFonts w:ascii="Arial" w:hAnsi="Arial" w:cs="Arial"/>
                <w:sz w:val="24"/>
                <w:szCs w:val="24"/>
              </w:rPr>
              <w:t>(Illustrative features lifted from PPG)</w:t>
            </w:r>
          </w:p>
        </w:tc>
        <w:tc>
          <w:tcPr>
            <w:tcW w:w="2432" w:type="dxa"/>
          </w:tcPr>
          <w:p w14:paraId="3FEF4630" w14:textId="77777777" w:rsidR="00807767" w:rsidRPr="001155A7" w:rsidRDefault="00807767" w:rsidP="005926DF">
            <w:pPr>
              <w:rPr>
                <w:rFonts w:ascii="Arial" w:hAnsi="Arial" w:cs="Arial"/>
                <w:sz w:val="24"/>
                <w:szCs w:val="24"/>
              </w:rPr>
            </w:pPr>
            <w:r w:rsidRPr="001155A7">
              <w:rPr>
                <w:rFonts w:ascii="Arial" w:hAnsi="Arial" w:cs="Arial"/>
                <w:sz w:val="24"/>
                <w:szCs w:val="24"/>
              </w:rPr>
              <w:t xml:space="preserve">Assessment areas that contribute strongly are likely to be free of existing </w:t>
            </w:r>
            <w:proofErr w:type="gramStart"/>
            <w:r w:rsidRPr="001155A7">
              <w:rPr>
                <w:rFonts w:ascii="Arial" w:hAnsi="Arial" w:cs="Arial"/>
                <w:sz w:val="24"/>
                <w:szCs w:val="24"/>
              </w:rPr>
              <w:t>development, and</w:t>
            </w:r>
            <w:proofErr w:type="gramEnd"/>
            <w:r w:rsidRPr="001155A7">
              <w:rPr>
                <w:rFonts w:ascii="Arial" w:hAnsi="Arial" w:cs="Arial"/>
                <w:sz w:val="24"/>
                <w:szCs w:val="24"/>
              </w:rPr>
              <w:t xml:space="preserve"> lack physical feature(s) in reasonable proximity that could restrict and contain development.  They are also likely to include </w:t>
            </w:r>
            <w:proofErr w:type="gramStart"/>
            <w:r w:rsidRPr="001155A7">
              <w:rPr>
                <w:rFonts w:ascii="Arial" w:hAnsi="Arial" w:cs="Arial"/>
                <w:sz w:val="24"/>
                <w:szCs w:val="24"/>
              </w:rPr>
              <w:t>all of</w:t>
            </w:r>
            <w:proofErr w:type="gramEnd"/>
            <w:r w:rsidRPr="001155A7">
              <w:rPr>
                <w:rFonts w:ascii="Arial" w:hAnsi="Arial" w:cs="Arial"/>
                <w:sz w:val="24"/>
                <w:szCs w:val="24"/>
              </w:rPr>
              <w:t xml:space="preserve"> the following features:</w:t>
            </w:r>
          </w:p>
          <w:p w14:paraId="59647022" w14:textId="77777777" w:rsidR="00807767" w:rsidRPr="001155A7" w:rsidRDefault="00807767" w:rsidP="00807767">
            <w:pPr>
              <w:pStyle w:val="ListParagraph"/>
              <w:numPr>
                <w:ilvl w:val="2"/>
                <w:numId w:val="7"/>
              </w:numPr>
              <w:ind w:left="312" w:right="84" w:hanging="284"/>
              <w:rPr>
                <w:rFonts w:ascii="Arial" w:hAnsi="Arial" w:cs="Arial"/>
                <w:sz w:val="24"/>
                <w:szCs w:val="24"/>
              </w:rPr>
            </w:pPr>
            <w:r w:rsidRPr="001155A7">
              <w:rPr>
                <w:rFonts w:ascii="Arial" w:hAnsi="Arial" w:cs="Arial"/>
                <w:sz w:val="24"/>
                <w:szCs w:val="24"/>
              </w:rPr>
              <w:t xml:space="preserve">be adjacent or near to a large </w:t>
            </w:r>
            <w:proofErr w:type="gramStart"/>
            <w:r w:rsidRPr="001155A7">
              <w:rPr>
                <w:rFonts w:ascii="Arial" w:hAnsi="Arial" w:cs="Arial"/>
                <w:sz w:val="24"/>
                <w:szCs w:val="24"/>
              </w:rPr>
              <w:t>built up</w:t>
            </w:r>
            <w:proofErr w:type="gramEnd"/>
            <w:r w:rsidRPr="001155A7">
              <w:rPr>
                <w:rFonts w:ascii="Arial" w:hAnsi="Arial" w:cs="Arial"/>
                <w:sz w:val="24"/>
                <w:szCs w:val="24"/>
              </w:rPr>
              <w:t xml:space="preserve"> area</w:t>
            </w:r>
          </w:p>
          <w:p w14:paraId="7D2EBA3D" w14:textId="77777777" w:rsidR="00807767" w:rsidRPr="001155A7" w:rsidRDefault="00807767" w:rsidP="00807767">
            <w:pPr>
              <w:pStyle w:val="ListParagraph"/>
              <w:numPr>
                <w:ilvl w:val="2"/>
                <w:numId w:val="7"/>
              </w:numPr>
              <w:ind w:left="312" w:hanging="284"/>
              <w:rPr>
                <w:rFonts w:ascii="Arial" w:hAnsi="Arial" w:cs="Arial"/>
                <w:sz w:val="24"/>
                <w:szCs w:val="24"/>
              </w:rPr>
            </w:pPr>
            <w:r w:rsidRPr="001155A7">
              <w:rPr>
                <w:rFonts w:ascii="Arial" w:hAnsi="Arial" w:cs="Arial"/>
                <w:sz w:val="24"/>
                <w:szCs w:val="24"/>
              </w:rPr>
              <w:t>if developed, result in an incongruous pattern of development (such as an extended ‘finger’ of development into the Green Belt)</w:t>
            </w:r>
          </w:p>
        </w:tc>
        <w:tc>
          <w:tcPr>
            <w:tcW w:w="2454" w:type="dxa"/>
          </w:tcPr>
          <w:p w14:paraId="4B09D953" w14:textId="77777777" w:rsidR="00807767" w:rsidRPr="001155A7" w:rsidRDefault="00807767" w:rsidP="005926DF">
            <w:pPr>
              <w:rPr>
                <w:rFonts w:ascii="Arial" w:hAnsi="Arial" w:cs="Arial"/>
                <w:sz w:val="24"/>
                <w:szCs w:val="24"/>
                <w:highlight w:val="yellow"/>
              </w:rPr>
            </w:pPr>
            <w:r w:rsidRPr="001155A7">
              <w:rPr>
                <w:rFonts w:ascii="Arial" w:hAnsi="Arial" w:cs="Arial"/>
                <w:color w:val="0B0C0C"/>
                <w:sz w:val="24"/>
                <w:szCs w:val="24"/>
                <w:shd w:val="clear" w:color="auto" w:fill="FFFFFF"/>
              </w:rPr>
              <w:t>Assessment areas that contribute moderately are likely to be adjacent or near to a large built up area, but include one or more features that weaken the land’s contribution to this purpose a, such as (but not limited to): </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having physical feature(s) in reasonable proximity that could restrict and contain development</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be partially enclosed by existing development, such that new development would not result in an incongruous pattern of development</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contain existing development</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being subject to other urbanising influences</w:t>
            </w:r>
          </w:p>
        </w:tc>
        <w:tc>
          <w:tcPr>
            <w:tcW w:w="2949" w:type="dxa"/>
          </w:tcPr>
          <w:p w14:paraId="4B3CE70A" w14:textId="77777777" w:rsidR="00807767" w:rsidRPr="001155A7" w:rsidRDefault="00807767" w:rsidP="005926DF">
            <w:pPr>
              <w:rPr>
                <w:rFonts w:ascii="Arial" w:hAnsi="Arial" w:cs="Arial"/>
                <w:sz w:val="24"/>
                <w:szCs w:val="24"/>
                <w:highlight w:val="yellow"/>
              </w:rPr>
            </w:pPr>
            <w:r w:rsidRPr="001155A7">
              <w:rPr>
                <w:rFonts w:ascii="Arial" w:hAnsi="Arial" w:cs="Arial"/>
                <w:color w:val="0B0C0C"/>
                <w:sz w:val="24"/>
                <w:szCs w:val="24"/>
                <w:shd w:val="clear" w:color="auto" w:fill="FFFFFF"/>
              </w:rPr>
              <w:t>Assessment areas that make only a weak or no contribution are likely to include those that: </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xml:space="preserve">- are not adjacent to or near to a large </w:t>
            </w:r>
            <w:proofErr w:type="gramStart"/>
            <w:r w:rsidRPr="001155A7">
              <w:rPr>
                <w:rFonts w:ascii="Arial" w:hAnsi="Arial" w:cs="Arial"/>
                <w:color w:val="0B0C0C"/>
                <w:sz w:val="24"/>
                <w:szCs w:val="24"/>
                <w:shd w:val="clear" w:color="auto" w:fill="FFFFFF"/>
              </w:rPr>
              <w:t>built up</w:t>
            </w:r>
            <w:proofErr w:type="gramEnd"/>
            <w:r w:rsidRPr="001155A7">
              <w:rPr>
                <w:rFonts w:ascii="Arial" w:hAnsi="Arial" w:cs="Arial"/>
                <w:color w:val="0B0C0C"/>
                <w:sz w:val="24"/>
                <w:szCs w:val="24"/>
                <w:shd w:val="clear" w:color="auto" w:fill="FFFFFF"/>
              </w:rPr>
              <w:t xml:space="preserve"> area</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xml:space="preserve">- are adjacent to or near to a large </w:t>
            </w:r>
            <w:proofErr w:type="gramStart"/>
            <w:r w:rsidRPr="001155A7">
              <w:rPr>
                <w:rFonts w:ascii="Arial" w:hAnsi="Arial" w:cs="Arial"/>
                <w:color w:val="0B0C0C"/>
                <w:sz w:val="24"/>
                <w:szCs w:val="24"/>
                <w:shd w:val="clear" w:color="auto" w:fill="FFFFFF"/>
              </w:rPr>
              <w:t>built up</w:t>
            </w:r>
            <w:proofErr w:type="gramEnd"/>
            <w:r w:rsidRPr="001155A7">
              <w:rPr>
                <w:rFonts w:ascii="Arial" w:hAnsi="Arial" w:cs="Arial"/>
                <w:color w:val="0B0C0C"/>
                <w:sz w:val="24"/>
                <w:szCs w:val="24"/>
                <w:shd w:val="clear" w:color="auto" w:fill="FFFFFF"/>
              </w:rPr>
              <w:t xml:space="preserve"> area, but containing or being largely enclosed by significant existing development</w:t>
            </w:r>
            <w:r>
              <w:rPr>
                <w:rFonts w:ascii="Arial" w:hAnsi="Arial" w:cs="Arial"/>
                <w:color w:val="0B0C0C"/>
                <w:sz w:val="24"/>
                <w:szCs w:val="24"/>
                <w:shd w:val="clear" w:color="auto" w:fill="FFFFFF"/>
              </w:rPr>
              <w:t>.</w:t>
            </w:r>
          </w:p>
        </w:tc>
      </w:tr>
      <w:tr w:rsidR="00807767" w14:paraId="4B2BBF75" w14:textId="77777777" w:rsidTr="00623D71">
        <w:trPr>
          <w:trHeight w:val="558"/>
        </w:trPr>
        <w:tc>
          <w:tcPr>
            <w:tcW w:w="2083" w:type="dxa"/>
          </w:tcPr>
          <w:p w14:paraId="5660BC04" w14:textId="77777777" w:rsidR="00807767" w:rsidRDefault="00807767" w:rsidP="00807767">
            <w:pPr>
              <w:rPr>
                <w:rFonts w:ascii="Arial" w:hAnsi="Arial" w:cs="Arial"/>
                <w:sz w:val="24"/>
                <w:szCs w:val="24"/>
              </w:rPr>
            </w:pPr>
            <w:r>
              <w:rPr>
                <w:rFonts w:ascii="Arial" w:hAnsi="Arial" w:cs="Arial"/>
                <w:sz w:val="24"/>
                <w:szCs w:val="24"/>
              </w:rPr>
              <w:t xml:space="preserve">(b) </w:t>
            </w:r>
            <w:r w:rsidRPr="001155A7">
              <w:rPr>
                <w:rFonts w:ascii="Arial" w:hAnsi="Arial" w:cs="Arial"/>
                <w:sz w:val="24"/>
                <w:szCs w:val="24"/>
              </w:rPr>
              <w:t>To prevent neighbouring towns merging into one another</w:t>
            </w:r>
          </w:p>
          <w:p w14:paraId="5819D339" w14:textId="77777777" w:rsidR="00807767" w:rsidRDefault="00807767" w:rsidP="00807767">
            <w:pPr>
              <w:rPr>
                <w:rFonts w:ascii="Arial" w:hAnsi="Arial" w:cs="Arial"/>
                <w:sz w:val="24"/>
                <w:szCs w:val="24"/>
              </w:rPr>
            </w:pPr>
          </w:p>
          <w:p w14:paraId="67AE95C6" w14:textId="71C90F84" w:rsidR="00807767" w:rsidRDefault="00807767" w:rsidP="00807767">
            <w:pPr>
              <w:rPr>
                <w:rFonts w:ascii="Arial" w:hAnsi="Arial" w:cs="Arial"/>
                <w:sz w:val="24"/>
                <w:szCs w:val="24"/>
              </w:rPr>
            </w:pPr>
            <w:r>
              <w:rPr>
                <w:rFonts w:ascii="Arial" w:hAnsi="Arial" w:cs="Arial"/>
                <w:sz w:val="24"/>
                <w:szCs w:val="24"/>
              </w:rPr>
              <w:lastRenderedPageBreak/>
              <w:t>(Illustrative features lifted from PPG)</w:t>
            </w:r>
          </w:p>
        </w:tc>
        <w:tc>
          <w:tcPr>
            <w:tcW w:w="2432" w:type="dxa"/>
          </w:tcPr>
          <w:p w14:paraId="483CE613" w14:textId="77777777" w:rsidR="00807767" w:rsidRPr="001155A7" w:rsidRDefault="00807767" w:rsidP="00807767">
            <w:pPr>
              <w:spacing w:after="450"/>
              <w:rPr>
                <w:rFonts w:ascii="Arial" w:hAnsi="Arial" w:cs="Arial"/>
                <w:color w:val="0B0C0C"/>
                <w:sz w:val="24"/>
                <w:szCs w:val="24"/>
              </w:rPr>
            </w:pPr>
            <w:r w:rsidRPr="001155A7">
              <w:rPr>
                <w:rFonts w:ascii="Arial" w:hAnsi="Arial" w:cs="Arial"/>
                <w:color w:val="0B0C0C"/>
                <w:sz w:val="24"/>
                <w:szCs w:val="24"/>
              </w:rPr>
              <w:lastRenderedPageBreak/>
              <w:t xml:space="preserve">Assessment areas that contribute strongly are likely to be free of existing development and </w:t>
            </w:r>
            <w:r w:rsidRPr="001155A7">
              <w:rPr>
                <w:rFonts w:ascii="Arial" w:hAnsi="Arial" w:cs="Arial"/>
                <w:color w:val="0B0C0C"/>
                <w:sz w:val="24"/>
                <w:szCs w:val="24"/>
              </w:rPr>
              <w:lastRenderedPageBreak/>
              <w:t xml:space="preserve">include </w:t>
            </w:r>
            <w:proofErr w:type="gramStart"/>
            <w:r w:rsidRPr="001155A7">
              <w:rPr>
                <w:rFonts w:ascii="Arial" w:hAnsi="Arial" w:cs="Arial"/>
                <w:color w:val="0B0C0C"/>
                <w:sz w:val="24"/>
                <w:szCs w:val="24"/>
              </w:rPr>
              <w:t>all of</w:t>
            </w:r>
            <w:proofErr w:type="gramEnd"/>
            <w:r w:rsidRPr="001155A7">
              <w:rPr>
                <w:rFonts w:ascii="Arial" w:hAnsi="Arial" w:cs="Arial"/>
                <w:color w:val="0B0C0C"/>
                <w:sz w:val="24"/>
                <w:szCs w:val="24"/>
              </w:rPr>
              <w:t xml:space="preserve"> the following features: </w:t>
            </w:r>
            <w:r w:rsidRPr="001155A7">
              <w:rPr>
                <w:rFonts w:ascii="Arial" w:hAnsi="Arial" w:cs="Arial"/>
                <w:color w:val="0B0C0C"/>
                <w:sz w:val="24"/>
                <w:szCs w:val="24"/>
              </w:rPr>
              <w:br/>
              <w:t>- forming a substantial part of a gap between towns</w:t>
            </w:r>
            <w:r w:rsidRPr="001155A7">
              <w:rPr>
                <w:rFonts w:ascii="Arial" w:hAnsi="Arial" w:cs="Arial"/>
                <w:color w:val="0B0C0C"/>
                <w:sz w:val="24"/>
                <w:szCs w:val="24"/>
              </w:rPr>
              <w:br/>
              <w:t>- the development of which would be likely to result in the loss of visual separation of towns</w:t>
            </w:r>
          </w:p>
          <w:p w14:paraId="2FB4C21E" w14:textId="77777777" w:rsidR="00807767" w:rsidRPr="001155A7" w:rsidRDefault="00807767" w:rsidP="00807767">
            <w:pPr>
              <w:rPr>
                <w:rFonts w:ascii="Arial" w:hAnsi="Arial" w:cs="Arial"/>
                <w:sz w:val="24"/>
                <w:szCs w:val="24"/>
              </w:rPr>
            </w:pPr>
          </w:p>
        </w:tc>
        <w:tc>
          <w:tcPr>
            <w:tcW w:w="2454" w:type="dxa"/>
          </w:tcPr>
          <w:p w14:paraId="4487D609" w14:textId="4ED37C0E" w:rsidR="00807767" w:rsidRPr="001155A7" w:rsidRDefault="00807767" w:rsidP="00807767">
            <w:pPr>
              <w:rPr>
                <w:rFonts w:ascii="Arial" w:hAnsi="Arial" w:cs="Arial"/>
                <w:color w:val="0B0C0C"/>
                <w:sz w:val="24"/>
                <w:szCs w:val="24"/>
                <w:shd w:val="clear" w:color="auto" w:fill="FFFFFF"/>
              </w:rPr>
            </w:pPr>
            <w:r w:rsidRPr="001155A7">
              <w:rPr>
                <w:rFonts w:ascii="Arial" w:hAnsi="Arial" w:cs="Arial"/>
                <w:color w:val="0B0C0C"/>
                <w:sz w:val="24"/>
                <w:szCs w:val="24"/>
                <w:shd w:val="clear" w:color="auto" w:fill="FFFFFF"/>
              </w:rPr>
              <w:lastRenderedPageBreak/>
              <w:t xml:space="preserve">Assessment areas that contribute moderately are likely to </w:t>
            </w:r>
            <w:proofErr w:type="gramStart"/>
            <w:r w:rsidRPr="001155A7">
              <w:rPr>
                <w:rFonts w:ascii="Arial" w:hAnsi="Arial" w:cs="Arial"/>
                <w:color w:val="0B0C0C"/>
                <w:sz w:val="24"/>
                <w:szCs w:val="24"/>
                <w:shd w:val="clear" w:color="auto" w:fill="FFFFFF"/>
              </w:rPr>
              <w:t>be located in</w:t>
            </w:r>
            <w:proofErr w:type="gramEnd"/>
            <w:r w:rsidRPr="001155A7">
              <w:rPr>
                <w:rFonts w:ascii="Arial" w:hAnsi="Arial" w:cs="Arial"/>
                <w:color w:val="0B0C0C"/>
                <w:sz w:val="24"/>
                <w:szCs w:val="24"/>
                <w:shd w:val="clear" w:color="auto" w:fill="FFFFFF"/>
              </w:rPr>
              <w:t xml:space="preserve"> a gap between </w:t>
            </w:r>
            <w:proofErr w:type="gramStart"/>
            <w:r w:rsidRPr="001155A7">
              <w:rPr>
                <w:rFonts w:ascii="Arial" w:hAnsi="Arial" w:cs="Arial"/>
                <w:color w:val="0B0C0C"/>
                <w:sz w:val="24"/>
                <w:szCs w:val="24"/>
                <w:shd w:val="clear" w:color="auto" w:fill="FFFFFF"/>
              </w:rPr>
              <w:t xml:space="preserve">towns, </w:t>
            </w:r>
            <w:r w:rsidRPr="001155A7">
              <w:rPr>
                <w:rFonts w:ascii="Arial" w:hAnsi="Arial" w:cs="Arial"/>
                <w:color w:val="0B0C0C"/>
                <w:sz w:val="24"/>
                <w:szCs w:val="24"/>
                <w:shd w:val="clear" w:color="auto" w:fill="FFFFFF"/>
              </w:rPr>
              <w:lastRenderedPageBreak/>
              <w:t>but</w:t>
            </w:r>
            <w:proofErr w:type="gramEnd"/>
            <w:r w:rsidRPr="001155A7">
              <w:rPr>
                <w:rFonts w:ascii="Arial" w:hAnsi="Arial" w:cs="Arial"/>
                <w:color w:val="0B0C0C"/>
                <w:sz w:val="24"/>
                <w:szCs w:val="24"/>
                <w:shd w:val="clear" w:color="auto" w:fill="FFFFFF"/>
              </w:rPr>
              <w:t xml:space="preserve"> include one or more features that weaken their contribution to this purpose, such as (but not limited to): </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forming a small part of the gap between towns</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xml:space="preserve">- being able to be developed without the loss of visual separation between towns. This could be (but is not limited to) due to the presence or the </w:t>
            </w:r>
            <w:proofErr w:type="gramStart"/>
            <w:r w:rsidRPr="001155A7">
              <w:rPr>
                <w:rFonts w:ascii="Arial" w:hAnsi="Arial" w:cs="Arial"/>
                <w:color w:val="0B0C0C"/>
                <w:sz w:val="24"/>
                <w:szCs w:val="24"/>
                <w:shd w:val="clear" w:color="auto" w:fill="FFFFFF"/>
              </w:rPr>
              <w:t>close proximity</w:t>
            </w:r>
            <w:proofErr w:type="gramEnd"/>
            <w:r w:rsidRPr="001155A7">
              <w:rPr>
                <w:rFonts w:ascii="Arial" w:hAnsi="Arial" w:cs="Arial"/>
                <w:color w:val="0B0C0C"/>
                <w:sz w:val="24"/>
                <w:szCs w:val="24"/>
                <w:shd w:val="clear" w:color="auto" w:fill="FFFFFF"/>
              </w:rPr>
              <w:t xml:space="preserve"> of structures, natural landscape elements or topography that preserve visual separation</w:t>
            </w:r>
          </w:p>
        </w:tc>
        <w:tc>
          <w:tcPr>
            <w:tcW w:w="2949" w:type="dxa"/>
          </w:tcPr>
          <w:p w14:paraId="2A2AE8A5" w14:textId="69B77DF6" w:rsidR="00807767" w:rsidRPr="001155A7" w:rsidRDefault="00807767" w:rsidP="00807767">
            <w:pPr>
              <w:rPr>
                <w:rFonts w:ascii="Arial" w:hAnsi="Arial" w:cs="Arial"/>
                <w:color w:val="0B0C0C"/>
                <w:sz w:val="24"/>
                <w:szCs w:val="24"/>
                <w:shd w:val="clear" w:color="auto" w:fill="FFFFFF"/>
              </w:rPr>
            </w:pPr>
            <w:r w:rsidRPr="001155A7">
              <w:rPr>
                <w:rFonts w:ascii="Arial" w:hAnsi="Arial" w:cs="Arial"/>
                <w:color w:val="0B0C0C"/>
                <w:sz w:val="24"/>
                <w:szCs w:val="24"/>
                <w:shd w:val="clear" w:color="auto" w:fill="FFFFFF"/>
              </w:rPr>
              <w:lastRenderedPageBreak/>
              <w:t>Assessment areas that contribute weakly are likely to include those that: </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xml:space="preserve">- do not form part of a </w:t>
            </w:r>
            <w:r w:rsidRPr="001155A7">
              <w:rPr>
                <w:rFonts w:ascii="Arial" w:hAnsi="Arial" w:cs="Arial"/>
                <w:color w:val="0B0C0C"/>
                <w:sz w:val="24"/>
                <w:szCs w:val="24"/>
                <w:shd w:val="clear" w:color="auto" w:fill="FFFFFF"/>
              </w:rPr>
              <w:lastRenderedPageBreak/>
              <w:t>gap between towns, or </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xml:space="preserve">- form part of a gap between towns, but only a very small part of this gap, without </w:t>
            </w:r>
            <w:proofErr w:type="gramStart"/>
            <w:r w:rsidRPr="001155A7">
              <w:rPr>
                <w:rFonts w:ascii="Arial" w:hAnsi="Arial" w:cs="Arial"/>
                <w:color w:val="0B0C0C"/>
                <w:sz w:val="24"/>
                <w:szCs w:val="24"/>
                <w:shd w:val="clear" w:color="auto" w:fill="FFFFFF"/>
              </w:rPr>
              <w:t>making a contribution</w:t>
            </w:r>
            <w:proofErr w:type="gramEnd"/>
            <w:r w:rsidRPr="001155A7">
              <w:rPr>
                <w:rFonts w:ascii="Arial" w:hAnsi="Arial" w:cs="Arial"/>
                <w:color w:val="0B0C0C"/>
                <w:sz w:val="24"/>
                <w:szCs w:val="24"/>
                <w:shd w:val="clear" w:color="auto" w:fill="FFFFFF"/>
              </w:rPr>
              <w:t xml:space="preserve"> to visual separation</w:t>
            </w:r>
          </w:p>
        </w:tc>
      </w:tr>
      <w:tr w:rsidR="00623D71" w14:paraId="5B51EC1B" w14:textId="77777777" w:rsidTr="00623D71">
        <w:trPr>
          <w:trHeight w:val="558"/>
        </w:trPr>
        <w:tc>
          <w:tcPr>
            <w:tcW w:w="2083" w:type="dxa"/>
          </w:tcPr>
          <w:p w14:paraId="765A499D" w14:textId="77777777" w:rsidR="00623D71" w:rsidRDefault="00623D71" w:rsidP="00623D71">
            <w:pPr>
              <w:rPr>
                <w:rFonts w:ascii="Arial" w:hAnsi="Arial" w:cs="Arial"/>
                <w:sz w:val="24"/>
                <w:szCs w:val="24"/>
              </w:rPr>
            </w:pPr>
            <w:r>
              <w:rPr>
                <w:rFonts w:ascii="Arial" w:hAnsi="Arial" w:cs="Arial"/>
                <w:sz w:val="24"/>
                <w:szCs w:val="24"/>
              </w:rPr>
              <w:lastRenderedPageBreak/>
              <w:t>(c) To assist in safeguarding the countryside from encroachment</w:t>
            </w:r>
          </w:p>
          <w:p w14:paraId="00C70FD7" w14:textId="77777777" w:rsidR="00623D71" w:rsidRDefault="00623D71" w:rsidP="00623D71">
            <w:pPr>
              <w:rPr>
                <w:rFonts w:ascii="Arial" w:hAnsi="Arial" w:cs="Arial"/>
                <w:sz w:val="24"/>
                <w:szCs w:val="24"/>
              </w:rPr>
            </w:pPr>
          </w:p>
          <w:p w14:paraId="573545E7" w14:textId="6FB74BB2" w:rsidR="00623D71" w:rsidRDefault="00623D71" w:rsidP="00623D71">
            <w:pPr>
              <w:rPr>
                <w:rFonts w:ascii="Arial" w:hAnsi="Arial" w:cs="Arial"/>
                <w:sz w:val="24"/>
                <w:szCs w:val="24"/>
              </w:rPr>
            </w:pPr>
            <w:r>
              <w:rPr>
                <w:rFonts w:ascii="Arial" w:hAnsi="Arial" w:cs="Arial"/>
                <w:sz w:val="24"/>
                <w:szCs w:val="24"/>
              </w:rPr>
              <w:t>(Illustrative features reflect 2015 methodology)</w:t>
            </w:r>
          </w:p>
        </w:tc>
        <w:tc>
          <w:tcPr>
            <w:tcW w:w="2432" w:type="dxa"/>
          </w:tcPr>
          <w:p w14:paraId="31C79C3D" w14:textId="5A7C9FF4" w:rsidR="00623D71" w:rsidRPr="00623D71" w:rsidRDefault="00623D71" w:rsidP="00623D71">
            <w:pPr>
              <w:rPr>
                <w:rFonts w:ascii="Arial" w:hAnsi="Arial" w:cs="Arial"/>
                <w:sz w:val="24"/>
                <w:szCs w:val="24"/>
              </w:rPr>
            </w:pPr>
            <w:r w:rsidRPr="00623D71">
              <w:rPr>
                <w:rFonts w:ascii="Arial" w:hAnsi="Arial" w:cs="Arial"/>
                <w:color w:val="0B0C0C"/>
                <w:sz w:val="24"/>
                <w:szCs w:val="24"/>
              </w:rPr>
              <w:t>Assessment areas that contribute strongly are likely to be free of any inappropriate development and therefore no encroachment.</w:t>
            </w:r>
          </w:p>
        </w:tc>
        <w:tc>
          <w:tcPr>
            <w:tcW w:w="2454" w:type="dxa"/>
          </w:tcPr>
          <w:p w14:paraId="51C1AA86" w14:textId="65E42113" w:rsidR="00623D71" w:rsidRPr="00623D71" w:rsidRDefault="00623D71" w:rsidP="00623D71">
            <w:pPr>
              <w:rPr>
                <w:rFonts w:ascii="Arial" w:hAnsi="Arial" w:cs="Arial"/>
                <w:color w:val="0B0C0C"/>
                <w:sz w:val="24"/>
                <w:szCs w:val="24"/>
                <w:shd w:val="clear" w:color="auto" w:fill="FFFFFF"/>
              </w:rPr>
            </w:pPr>
            <w:r w:rsidRPr="00623D71">
              <w:rPr>
                <w:rFonts w:ascii="Arial" w:hAnsi="Arial" w:cs="Arial"/>
                <w:color w:val="0B0C0C"/>
                <w:sz w:val="24"/>
                <w:szCs w:val="24"/>
                <w:shd w:val="clear" w:color="auto" w:fill="FFFFFF"/>
              </w:rPr>
              <w:t>Assessment areas that contribute moderately are likely to include some existing inappropriate developments which have caused some encroachment.</w:t>
            </w:r>
          </w:p>
        </w:tc>
        <w:tc>
          <w:tcPr>
            <w:tcW w:w="2949" w:type="dxa"/>
          </w:tcPr>
          <w:p w14:paraId="0DB7B2C5" w14:textId="4F4F9149" w:rsidR="00623D71" w:rsidRPr="00623D71" w:rsidRDefault="00623D71" w:rsidP="00623D71">
            <w:pPr>
              <w:rPr>
                <w:rFonts w:ascii="Arial" w:hAnsi="Arial" w:cs="Arial"/>
                <w:color w:val="0B0C0C"/>
                <w:sz w:val="24"/>
                <w:szCs w:val="24"/>
                <w:shd w:val="clear" w:color="auto" w:fill="FFFFFF"/>
              </w:rPr>
            </w:pPr>
            <w:r w:rsidRPr="00623D71">
              <w:rPr>
                <w:rFonts w:ascii="Arial" w:hAnsi="Arial" w:cs="Arial"/>
                <w:color w:val="0B0C0C"/>
                <w:sz w:val="24"/>
                <w:szCs w:val="24"/>
                <w:shd w:val="clear" w:color="auto" w:fill="FFFFFF"/>
              </w:rPr>
              <w:t xml:space="preserve">Assessment areas that contribute weakly are likely to include a large amount of existing inappropriate developments which have caused a significant degree of encroachment.  </w:t>
            </w:r>
          </w:p>
        </w:tc>
      </w:tr>
      <w:tr w:rsidR="00623D71" w14:paraId="07C84EDD" w14:textId="77777777" w:rsidTr="00623D71">
        <w:trPr>
          <w:trHeight w:val="558"/>
        </w:trPr>
        <w:tc>
          <w:tcPr>
            <w:tcW w:w="2083" w:type="dxa"/>
          </w:tcPr>
          <w:p w14:paraId="5EC180E3" w14:textId="77777777" w:rsidR="00623D71" w:rsidRDefault="00623D71" w:rsidP="00623D71">
            <w:pPr>
              <w:rPr>
                <w:rFonts w:ascii="Arial" w:hAnsi="Arial" w:cs="Arial"/>
                <w:sz w:val="24"/>
                <w:szCs w:val="24"/>
              </w:rPr>
            </w:pPr>
            <w:r>
              <w:rPr>
                <w:rFonts w:ascii="Arial" w:hAnsi="Arial" w:cs="Arial"/>
                <w:sz w:val="24"/>
                <w:szCs w:val="24"/>
              </w:rPr>
              <w:t xml:space="preserve">(d) </w:t>
            </w:r>
            <w:r w:rsidRPr="001155A7">
              <w:rPr>
                <w:rFonts w:ascii="Arial" w:hAnsi="Arial" w:cs="Arial"/>
                <w:sz w:val="24"/>
                <w:szCs w:val="24"/>
              </w:rPr>
              <w:t>To preserve the setting and special character of historic towns</w:t>
            </w:r>
          </w:p>
          <w:p w14:paraId="407A766E" w14:textId="77777777" w:rsidR="00623D71" w:rsidRDefault="00623D71" w:rsidP="00623D71">
            <w:pPr>
              <w:rPr>
                <w:rFonts w:ascii="Arial" w:hAnsi="Arial" w:cs="Arial"/>
                <w:sz w:val="24"/>
                <w:szCs w:val="24"/>
              </w:rPr>
            </w:pPr>
          </w:p>
          <w:p w14:paraId="18735941" w14:textId="351E3E5E" w:rsidR="00623D71" w:rsidRDefault="00623D71" w:rsidP="00623D71">
            <w:pPr>
              <w:rPr>
                <w:rFonts w:ascii="Arial" w:hAnsi="Arial" w:cs="Arial"/>
                <w:sz w:val="24"/>
                <w:szCs w:val="24"/>
              </w:rPr>
            </w:pPr>
            <w:r>
              <w:rPr>
                <w:rFonts w:ascii="Arial" w:hAnsi="Arial" w:cs="Arial"/>
                <w:sz w:val="24"/>
                <w:szCs w:val="24"/>
              </w:rPr>
              <w:t>(Illustrative features lifted from PPG)</w:t>
            </w:r>
          </w:p>
        </w:tc>
        <w:tc>
          <w:tcPr>
            <w:tcW w:w="2432" w:type="dxa"/>
          </w:tcPr>
          <w:p w14:paraId="1C33D6A7" w14:textId="3A84E46A" w:rsidR="00623D71" w:rsidRPr="001D0E8B" w:rsidRDefault="00623D71" w:rsidP="00623D71">
            <w:pPr>
              <w:rPr>
                <w:rFonts w:ascii="Arial" w:hAnsi="Arial" w:cs="Arial"/>
                <w:i/>
                <w:iCs/>
                <w:color w:val="0B0C0C"/>
                <w:sz w:val="24"/>
                <w:szCs w:val="24"/>
              </w:rPr>
            </w:pPr>
            <w:r w:rsidRPr="001155A7">
              <w:rPr>
                <w:rFonts w:ascii="Arial" w:hAnsi="Arial" w:cs="Arial"/>
                <w:color w:val="0B0C0C"/>
                <w:sz w:val="24"/>
                <w:szCs w:val="24"/>
                <w:shd w:val="clear" w:color="auto" w:fill="FFFFFF"/>
              </w:rPr>
              <w:t xml:space="preserve">Assessment areas that contribute strongly are likely be free of existing development and to include </w:t>
            </w:r>
            <w:proofErr w:type="gramStart"/>
            <w:r w:rsidRPr="001155A7">
              <w:rPr>
                <w:rFonts w:ascii="Arial" w:hAnsi="Arial" w:cs="Arial"/>
                <w:color w:val="0B0C0C"/>
                <w:sz w:val="24"/>
                <w:szCs w:val="24"/>
                <w:shd w:val="clear" w:color="auto" w:fill="FFFFFF"/>
              </w:rPr>
              <w:t>all of</w:t>
            </w:r>
            <w:proofErr w:type="gramEnd"/>
            <w:r w:rsidRPr="001155A7">
              <w:rPr>
                <w:rFonts w:ascii="Arial" w:hAnsi="Arial" w:cs="Arial"/>
                <w:color w:val="0B0C0C"/>
                <w:sz w:val="24"/>
                <w:szCs w:val="24"/>
                <w:shd w:val="clear" w:color="auto" w:fill="FFFFFF"/>
              </w:rPr>
              <w:t xml:space="preserve"> the following features: </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form part of the setting of the historic town</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xml:space="preserve">- make a considerable contribution to the special character of a historic town. This could be (but is not limited to) </w:t>
            </w:r>
            <w:proofErr w:type="gramStart"/>
            <w:r w:rsidRPr="001155A7">
              <w:rPr>
                <w:rFonts w:ascii="Arial" w:hAnsi="Arial" w:cs="Arial"/>
                <w:color w:val="0B0C0C"/>
                <w:sz w:val="24"/>
                <w:szCs w:val="24"/>
                <w:shd w:val="clear" w:color="auto" w:fill="FFFFFF"/>
              </w:rPr>
              <w:t>as a result of</w:t>
            </w:r>
            <w:proofErr w:type="gramEnd"/>
            <w:r w:rsidRPr="001155A7">
              <w:rPr>
                <w:rFonts w:ascii="Arial" w:hAnsi="Arial" w:cs="Arial"/>
                <w:color w:val="0B0C0C"/>
                <w:sz w:val="24"/>
                <w:szCs w:val="24"/>
                <w:shd w:val="clear" w:color="auto" w:fill="FFFFFF"/>
              </w:rPr>
              <w:t xml:space="preserve"> being within, </w:t>
            </w:r>
            <w:r w:rsidRPr="001155A7">
              <w:rPr>
                <w:rFonts w:ascii="Arial" w:hAnsi="Arial" w:cs="Arial"/>
                <w:color w:val="0B0C0C"/>
                <w:sz w:val="24"/>
                <w:szCs w:val="24"/>
                <w:shd w:val="clear" w:color="auto" w:fill="FFFFFF"/>
              </w:rPr>
              <w:lastRenderedPageBreak/>
              <w:t>adjacent to, or of significant visual importance to the historic aspects of the town</w:t>
            </w:r>
          </w:p>
        </w:tc>
        <w:tc>
          <w:tcPr>
            <w:tcW w:w="2454" w:type="dxa"/>
          </w:tcPr>
          <w:p w14:paraId="30776E6C" w14:textId="77777777" w:rsidR="00623D71" w:rsidRPr="001155A7" w:rsidRDefault="00623D71" w:rsidP="00623D71">
            <w:pPr>
              <w:spacing w:after="450"/>
              <w:rPr>
                <w:rFonts w:ascii="Arial" w:hAnsi="Arial" w:cs="Arial"/>
                <w:color w:val="0B0C0C"/>
                <w:sz w:val="24"/>
                <w:szCs w:val="24"/>
              </w:rPr>
            </w:pPr>
            <w:r w:rsidRPr="001155A7">
              <w:rPr>
                <w:rFonts w:ascii="Arial" w:hAnsi="Arial" w:cs="Arial"/>
                <w:color w:val="0B0C0C"/>
                <w:sz w:val="24"/>
                <w:szCs w:val="24"/>
              </w:rPr>
              <w:lastRenderedPageBreak/>
              <w:t>Assessment areas that perform moderately are likely to form part of the setting and/or contribute to the special character of a historic town but include one or more features that weaken their contribution to this purpose, such as (but not limited to): </w:t>
            </w:r>
            <w:r w:rsidRPr="001155A7">
              <w:rPr>
                <w:rFonts w:ascii="Arial" w:hAnsi="Arial" w:cs="Arial"/>
                <w:color w:val="0B0C0C"/>
                <w:sz w:val="24"/>
                <w:szCs w:val="24"/>
              </w:rPr>
              <w:br/>
              <w:t xml:space="preserve">- being separated to some extent from historic aspects of the town by existing </w:t>
            </w:r>
            <w:r w:rsidRPr="001155A7">
              <w:rPr>
                <w:rFonts w:ascii="Arial" w:hAnsi="Arial" w:cs="Arial"/>
                <w:color w:val="0B0C0C"/>
                <w:sz w:val="24"/>
                <w:szCs w:val="24"/>
              </w:rPr>
              <w:lastRenderedPageBreak/>
              <w:t>development or topography</w:t>
            </w:r>
            <w:r w:rsidRPr="001155A7">
              <w:rPr>
                <w:rFonts w:ascii="Arial" w:hAnsi="Arial" w:cs="Arial"/>
                <w:color w:val="0B0C0C"/>
                <w:sz w:val="24"/>
                <w:szCs w:val="24"/>
              </w:rPr>
              <w:br/>
              <w:t>- containing existing development</w:t>
            </w:r>
            <w:r w:rsidRPr="001155A7">
              <w:rPr>
                <w:rFonts w:ascii="Arial" w:hAnsi="Arial" w:cs="Arial"/>
                <w:color w:val="0B0C0C"/>
                <w:sz w:val="24"/>
                <w:szCs w:val="24"/>
              </w:rPr>
              <w:br/>
              <w:t>- not having an important visual, physical, or experiential relationship to historic aspects of the town</w:t>
            </w:r>
          </w:p>
          <w:p w14:paraId="0BBE7573" w14:textId="77777777" w:rsidR="00623D71" w:rsidRPr="001155A7" w:rsidRDefault="00623D71" w:rsidP="00623D71">
            <w:pPr>
              <w:rPr>
                <w:rFonts w:ascii="Arial" w:hAnsi="Arial" w:cs="Arial"/>
                <w:color w:val="0B0C0C"/>
                <w:sz w:val="24"/>
                <w:szCs w:val="24"/>
                <w:shd w:val="clear" w:color="auto" w:fill="FFFFFF"/>
              </w:rPr>
            </w:pPr>
          </w:p>
        </w:tc>
        <w:tc>
          <w:tcPr>
            <w:tcW w:w="2949" w:type="dxa"/>
          </w:tcPr>
          <w:p w14:paraId="24AC79C5" w14:textId="4CC084FE" w:rsidR="00623D71" w:rsidRPr="001D0E8B" w:rsidRDefault="00623D71" w:rsidP="00623D71">
            <w:pPr>
              <w:rPr>
                <w:rFonts w:ascii="Arial" w:hAnsi="Arial" w:cs="Arial"/>
                <w:i/>
                <w:iCs/>
                <w:color w:val="0B0C0C"/>
                <w:sz w:val="24"/>
                <w:szCs w:val="24"/>
                <w:shd w:val="clear" w:color="auto" w:fill="FFFFFF"/>
              </w:rPr>
            </w:pPr>
            <w:r w:rsidRPr="001155A7">
              <w:rPr>
                <w:rFonts w:ascii="Arial" w:hAnsi="Arial" w:cs="Arial"/>
                <w:color w:val="0B0C0C"/>
                <w:sz w:val="24"/>
                <w:szCs w:val="24"/>
                <w:shd w:val="clear" w:color="auto" w:fill="FFFFFF"/>
              </w:rPr>
              <w:lastRenderedPageBreak/>
              <w:t>Assessment areas that make no or only a weak contribution are likely to include those that: </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do not form part of the setting of a historic town</w:t>
            </w:r>
            <w:r w:rsidRPr="001155A7">
              <w:rPr>
                <w:rFonts w:ascii="Arial" w:hAnsi="Arial" w:cs="Arial"/>
                <w:color w:val="0B0C0C"/>
                <w:sz w:val="24"/>
                <w:szCs w:val="24"/>
              </w:rPr>
              <w:br/>
            </w:r>
            <w:r w:rsidRPr="001155A7">
              <w:rPr>
                <w:rFonts w:ascii="Arial" w:hAnsi="Arial" w:cs="Arial"/>
                <w:color w:val="0B0C0C"/>
                <w:sz w:val="24"/>
                <w:szCs w:val="24"/>
                <w:shd w:val="clear" w:color="auto" w:fill="FFFFFF"/>
              </w:rPr>
              <w:t>- have no visual, physical, or experiential connection to the historic aspects of the town</w:t>
            </w:r>
          </w:p>
        </w:tc>
      </w:tr>
      <w:tr w:rsidR="00623D71" w14:paraId="1421A224" w14:textId="77777777" w:rsidTr="00623D71">
        <w:trPr>
          <w:trHeight w:val="558"/>
        </w:trPr>
        <w:tc>
          <w:tcPr>
            <w:tcW w:w="2083" w:type="dxa"/>
          </w:tcPr>
          <w:p w14:paraId="5DC042F2" w14:textId="77777777" w:rsidR="00623D71" w:rsidRPr="00623D71" w:rsidRDefault="00623D71" w:rsidP="00623D71">
            <w:pPr>
              <w:rPr>
                <w:rFonts w:ascii="Arial" w:hAnsi="Arial" w:cs="Arial"/>
                <w:sz w:val="24"/>
                <w:szCs w:val="24"/>
              </w:rPr>
            </w:pPr>
            <w:r w:rsidRPr="00623D71">
              <w:rPr>
                <w:rFonts w:ascii="Arial" w:hAnsi="Arial" w:cs="Arial"/>
                <w:sz w:val="24"/>
                <w:szCs w:val="24"/>
              </w:rPr>
              <w:t>(e) To assist in urban regeneration, by encouraging the recycling of derelict and other urban land</w:t>
            </w:r>
          </w:p>
          <w:p w14:paraId="33D52F6E" w14:textId="77777777" w:rsidR="00623D71" w:rsidRPr="00623D71" w:rsidRDefault="00623D71" w:rsidP="00623D71">
            <w:pPr>
              <w:rPr>
                <w:rFonts w:ascii="Arial" w:hAnsi="Arial" w:cs="Arial"/>
                <w:sz w:val="24"/>
                <w:szCs w:val="24"/>
              </w:rPr>
            </w:pPr>
          </w:p>
          <w:p w14:paraId="6D7F9784" w14:textId="14896FEC" w:rsidR="00623D71" w:rsidRDefault="00623D71" w:rsidP="00623D71">
            <w:pPr>
              <w:rPr>
                <w:rFonts w:ascii="Arial" w:hAnsi="Arial" w:cs="Arial"/>
                <w:sz w:val="24"/>
                <w:szCs w:val="24"/>
              </w:rPr>
            </w:pPr>
            <w:r w:rsidRPr="00623D71">
              <w:rPr>
                <w:rFonts w:ascii="Arial" w:hAnsi="Arial" w:cs="Arial"/>
                <w:sz w:val="24"/>
                <w:szCs w:val="24"/>
              </w:rPr>
              <w:t>(reflects 2015 methodology)</w:t>
            </w:r>
          </w:p>
        </w:tc>
        <w:tc>
          <w:tcPr>
            <w:tcW w:w="7835" w:type="dxa"/>
            <w:gridSpan w:val="3"/>
          </w:tcPr>
          <w:p w14:paraId="583615AF" w14:textId="46FD1F5D" w:rsidR="00623D71" w:rsidRPr="00623D71" w:rsidRDefault="00623D71" w:rsidP="00623D71">
            <w:pPr>
              <w:rPr>
                <w:rFonts w:ascii="Arial" w:hAnsi="Arial" w:cs="Arial"/>
                <w:color w:val="0B0C0C"/>
                <w:sz w:val="24"/>
                <w:szCs w:val="24"/>
                <w:shd w:val="clear" w:color="auto" w:fill="FFFFFF"/>
              </w:rPr>
            </w:pPr>
            <w:r w:rsidRPr="00623D71">
              <w:rPr>
                <w:rFonts w:ascii="Arial" w:hAnsi="Arial" w:cs="Arial"/>
                <w:color w:val="0B0C0C"/>
                <w:sz w:val="24"/>
                <w:szCs w:val="24"/>
                <w:shd w:val="clear" w:color="auto" w:fill="FFFFFF"/>
              </w:rPr>
              <w:t>It is considered that all land in the Green Belt assists in urban regeneration to the same extent and therefore no illustrative feature</w:t>
            </w:r>
            <w:r>
              <w:rPr>
                <w:rFonts w:ascii="Arial" w:hAnsi="Arial" w:cs="Arial"/>
                <w:color w:val="0B0C0C"/>
                <w:sz w:val="24"/>
                <w:szCs w:val="24"/>
                <w:shd w:val="clear" w:color="auto" w:fill="FFFFFF"/>
              </w:rPr>
              <w:t>s</w:t>
            </w:r>
            <w:r w:rsidRPr="00623D71">
              <w:rPr>
                <w:rFonts w:ascii="Arial" w:hAnsi="Arial" w:cs="Arial"/>
                <w:color w:val="0B0C0C"/>
                <w:sz w:val="24"/>
                <w:szCs w:val="24"/>
                <w:shd w:val="clear" w:color="auto" w:fill="FFFFFF"/>
              </w:rPr>
              <w:t xml:space="preserve"> are proposed to distinguish between the values of various sites/locations. </w:t>
            </w:r>
          </w:p>
          <w:p w14:paraId="1DE277FB" w14:textId="77777777" w:rsidR="00623D71" w:rsidRPr="001155A7" w:rsidRDefault="00623D71" w:rsidP="00623D71">
            <w:pPr>
              <w:rPr>
                <w:rFonts w:ascii="Arial" w:hAnsi="Arial" w:cs="Arial"/>
                <w:color w:val="0B0C0C"/>
                <w:sz w:val="24"/>
                <w:szCs w:val="24"/>
                <w:shd w:val="clear" w:color="auto" w:fill="FFFFFF"/>
              </w:rPr>
            </w:pPr>
          </w:p>
        </w:tc>
      </w:tr>
    </w:tbl>
    <w:p w14:paraId="1EC461C3" w14:textId="5ABA1E5C" w:rsidR="000A66AE" w:rsidRDefault="00807767" w:rsidP="00807767">
      <w:pPr>
        <w:rPr>
          <w:rFonts w:ascii="Arial" w:hAnsi="Arial" w:cs="Arial"/>
          <w:sz w:val="24"/>
          <w:szCs w:val="24"/>
          <w:highlight w:val="yellow"/>
        </w:rPr>
      </w:pPr>
      <w:r w:rsidRPr="003C5F7B" w:rsidDel="00807767">
        <w:rPr>
          <w:rFonts w:ascii="Arial" w:hAnsi="Arial" w:cs="Arial"/>
          <w:b/>
          <w:bCs/>
          <w:sz w:val="24"/>
          <w:szCs w:val="24"/>
          <w:highlight w:val="yellow"/>
        </w:rPr>
        <w:t xml:space="preserve"> </w:t>
      </w:r>
      <w:r>
        <w:rPr>
          <w:rFonts w:ascii="Arial" w:hAnsi="Arial" w:cs="Arial"/>
          <w:sz w:val="24"/>
          <w:szCs w:val="24"/>
          <w:highlight w:val="yellow"/>
        </w:rPr>
        <w:t xml:space="preserve"> </w:t>
      </w:r>
    </w:p>
    <w:p w14:paraId="17941F25" w14:textId="77777777" w:rsidR="00807767" w:rsidRDefault="00807767">
      <w:pPr>
        <w:rPr>
          <w:rFonts w:ascii="Arial" w:hAnsi="Arial" w:cs="Arial"/>
          <w:b/>
          <w:bCs/>
          <w:sz w:val="24"/>
          <w:szCs w:val="24"/>
        </w:rPr>
      </w:pPr>
      <w:r>
        <w:rPr>
          <w:rFonts w:ascii="Arial" w:hAnsi="Arial" w:cs="Arial"/>
          <w:b/>
          <w:bCs/>
          <w:sz w:val="24"/>
          <w:szCs w:val="24"/>
        </w:rPr>
        <w:br w:type="page"/>
      </w:r>
    </w:p>
    <w:p w14:paraId="66801650" w14:textId="6C9BC5E0" w:rsidR="00A14AA6" w:rsidRDefault="00731192" w:rsidP="00AF633F">
      <w:pPr>
        <w:rPr>
          <w:rFonts w:ascii="Arial" w:hAnsi="Arial" w:cs="Arial"/>
          <w:b/>
          <w:bCs/>
          <w:sz w:val="24"/>
          <w:szCs w:val="24"/>
        </w:rPr>
      </w:pPr>
      <w:r>
        <w:rPr>
          <w:rFonts w:ascii="Arial" w:hAnsi="Arial" w:cs="Arial"/>
          <w:b/>
          <w:bCs/>
          <w:sz w:val="24"/>
          <w:szCs w:val="24"/>
        </w:rPr>
        <w:lastRenderedPageBreak/>
        <w:t>A</w:t>
      </w:r>
      <w:r w:rsidR="00A14AA6">
        <w:rPr>
          <w:rFonts w:ascii="Arial" w:hAnsi="Arial" w:cs="Arial"/>
          <w:b/>
          <w:bCs/>
          <w:sz w:val="24"/>
          <w:szCs w:val="24"/>
        </w:rPr>
        <w:t>PPENDIX 3</w:t>
      </w:r>
    </w:p>
    <w:p w14:paraId="3C78A0F5" w14:textId="35E67E17" w:rsidR="00AF633F" w:rsidRPr="00856DD5" w:rsidRDefault="00AF633F" w:rsidP="00AF633F">
      <w:pPr>
        <w:rPr>
          <w:rFonts w:ascii="Arial" w:hAnsi="Arial" w:cs="Arial"/>
          <w:b/>
          <w:bCs/>
          <w:sz w:val="24"/>
          <w:szCs w:val="24"/>
        </w:rPr>
      </w:pPr>
      <w:r w:rsidRPr="00856DD5">
        <w:rPr>
          <w:rFonts w:ascii="Arial" w:hAnsi="Arial" w:cs="Arial"/>
          <w:b/>
          <w:bCs/>
          <w:sz w:val="24"/>
          <w:szCs w:val="24"/>
        </w:rPr>
        <w:t>Glossary of Terms and Abbreviations</w:t>
      </w:r>
    </w:p>
    <w:p w14:paraId="0082E94F" w14:textId="77777777" w:rsidR="00A14AA6" w:rsidRDefault="00A14AA6" w:rsidP="00AF633F">
      <w:pPr>
        <w:rPr>
          <w:rFonts w:ascii="Arial" w:hAnsi="Arial" w:cs="Arial"/>
          <w:b/>
          <w:bCs/>
          <w:sz w:val="24"/>
          <w:szCs w:val="24"/>
        </w:rPr>
      </w:pPr>
    </w:p>
    <w:p w14:paraId="71994644" w14:textId="22F3ABED" w:rsidR="00AF633F" w:rsidRPr="00AF633F" w:rsidRDefault="00AF633F" w:rsidP="00AF633F">
      <w:pPr>
        <w:rPr>
          <w:rFonts w:ascii="Arial" w:hAnsi="Arial" w:cs="Arial"/>
          <w:sz w:val="24"/>
          <w:szCs w:val="24"/>
        </w:rPr>
      </w:pPr>
      <w:r w:rsidRPr="00434FF6">
        <w:rPr>
          <w:rFonts w:ascii="Arial" w:hAnsi="Arial" w:cs="Arial"/>
          <w:b/>
          <w:bCs/>
          <w:sz w:val="24"/>
          <w:szCs w:val="24"/>
        </w:rPr>
        <w:t>Conservation Area:</w:t>
      </w:r>
      <w:r w:rsidRPr="00AF633F">
        <w:rPr>
          <w:rFonts w:ascii="Arial" w:hAnsi="Arial" w:cs="Arial"/>
          <w:sz w:val="24"/>
          <w:szCs w:val="24"/>
        </w:rPr>
        <w:t xml:space="preserve"> </w:t>
      </w:r>
      <w:r w:rsidR="003C68E6" w:rsidRPr="003C68E6">
        <w:rPr>
          <w:rFonts w:ascii="Arial" w:hAnsi="Arial" w:cs="Arial"/>
          <w:sz w:val="24"/>
          <w:szCs w:val="24"/>
        </w:rPr>
        <w:t xml:space="preserve">An area designated by a Local Planning Authority under Section 69 of the Planning (Listed Buildings and Conservation Areas) Act 1990, regarded as being an area of special architectural or historic interest, the character or appearance of which is desirable to preserve or enhance.  </w:t>
      </w:r>
      <w:r w:rsidR="00B5691F">
        <w:rPr>
          <w:rFonts w:ascii="Arial" w:hAnsi="Arial" w:cs="Arial"/>
          <w:sz w:val="24"/>
          <w:szCs w:val="24"/>
        </w:rPr>
        <w:t xml:space="preserve">(Source: </w:t>
      </w:r>
      <w:r w:rsidR="002F1F39">
        <w:rPr>
          <w:rFonts w:ascii="Arial" w:hAnsi="Arial" w:cs="Arial"/>
          <w:sz w:val="24"/>
          <w:szCs w:val="24"/>
        </w:rPr>
        <w:t>Greater Nottingham Strategic Plan</w:t>
      </w:r>
      <w:r w:rsidR="00B5691F">
        <w:rPr>
          <w:rFonts w:ascii="Arial" w:hAnsi="Arial" w:cs="Arial"/>
          <w:sz w:val="24"/>
          <w:szCs w:val="24"/>
        </w:rPr>
        <w:t>)</w:t>
      </w:r>
    </w:p>
    <w:p w14:paraId="0F2F6D40" w14:textId="5945D80E" w:rsidR="00AF633F" w:rsidRPr="00AF633F" w:rsidRDefault="00AF633F" w:rsidP="00AF633F">
      <w:pPr>
        <w:rPr>
          <w:rFonts w:ascii="Arial" w:hAnsi="Arial" w:cs="Arial"/>
          <w:sz w:val="24"/>
          <w:szCs w:val="24"/>
        </w:rPr>
      </w:pPr>
      <w:r w:rsidRPr="00434FF6">
        <w:rPr>
          <w:rFonts w:ascii="Arial" w:hAnsi="Arial" w:cs="Arial"/>
          <w:b/>
          <w:bCs/>
          <w:sz w:val="24"/>
          <w:szCs w:val="24"/>
        </w:rPr>
        <w:t>Development Plan:</w:t>
      </w:r>
      <w:r w:rsidRPr="00AF633F">
        <w:rPr>
          <w:rFonts w:ascii="Arial" w:hAnsi="Arial" w:cs="Arial"/>
          <w:sz w:val="24"/>
          <w:szCs w:val="24"/>
        </w:rPr>
        <w:t xml:space="preserve"> </w:t>
      </w:r>
      <w:r w:rsidR="00AF71AC">
        <w:rPr>
          <w:rFonts w:ascii="Arial" w:hAnsi="Arial" w:cs="Arial"/>
          <w:sz w:val="24"/>
          <w:szCs w:val="24"/>
        </w:rPr>
        <w:t>Is defined in section 38 of the Planning and Compulsory Purchase Act 20</w:t>
      </w:r>
      <w:r w:rsidR="00F01477">
        <w:rPr>
          <w:rFonts w:ascii="Arial" w:hAnsi="Arial" w:cs="Arial"/>
          <w:sz w:val="24"/>
          <w:szCs w:val="24"/>
        </w:rPr>
        <w:t>0</w:t>
      </w:r>
      <w:r w:rsidR="00AF71AC">
        <w:rPr>
          <w:rFonts w:ascii="Arial" w:hAnsi="Arial" w:cs="Arial"/>
          <w:sz w:val="24"/>
          <w:szCs w:val="24"/>
        </w:rPr>
        <w:t xml:space="preserve">4, and includes adopted local plans, neighbourhood plans that have been made and published spatial development strategies, together with any regional strategy policies that remain in force.  Neighbourhood plans that have been approved at referendum are also part of the development plan, unless the local planning authority decides that the neighbourhood plan should not be made. </w:t>
      </w:r>
      <w:r w:rsidR="00B5691F">
        <w:rPr>
          <w:rFonts w:ascii="Arial" w:hAnsi="Arial" w:cs="Arial"/>
          <w:sz w:val="24"/>
          <w:szCs w:val="24"/>
        </w:rPr>
        <w:t>(Source: NPPF)</w:t>
      </w:r>
    </w:p>
    <w:p w14:paraId="1169F72E" w14:textId="3F037433" w:rsidR="00AF633F" w:rsidRDefault="00AF633F" w:rsidP="00AF633F">
      <w:pPr>
        <w:rPr>
          <w:rFonts w:ascii="Arial" w:hAnsi="Arial" w:cs="Arial"/>
          <w:sz w:val="24"/>
          <w:szCs w:val="24"/>
        </w:rPr>
      </w:pPr>
      <w:r w:rsidRPr="00E30929">
        <w:rPr>
          <w:rFonts w:ascii="Arial" w:hAnsi="Arial" w:cs="Arial"/>
          <w:b/>
          <w:bCs/>
          <w:sz w:val="24"/>
          <w:szCs w:val="24"/>
        </w:rPr>
        <w:t>Duty to cooperate:</w:t>
      </w:r>
      <w:r w:rsidRPr="00AF633F">
        <w:rPr>
          <w:rFonts w:ascii="Arial" w:hAnsi="Arial" w:cs="Arial"/>
          <w:sz w:val="24"/>
          <w:szCs w:val="24"/>
        </w:rPr>
        <w:t xml:space="preserve"> </w:t>
      </w:r>
      <w:r w:rsidR="00E30929">
        <w:rPr>
          <w:rFonts w:ascii="Arial" w:hAnsi="Arial" w:cs="Arial"/>
          <w:sz w:val="24"/>
          <w:szCs w:val="24"/>
        </w:rPr>
        <w:t xml:space="preserve">Paragraphs 24-28 of the NPPF note that local planning authorities and county councils (in two-tier areas) continue to be under a duty to cooperate with each other, and with other prescribed bodies, on strategic matters that cross administrative boundaries.  </w:t>
      </w:r>
      <w:r w:rsidR="00B5691F">
        <w:rPr>
          <w:rFonts w:ascii="Arial" w:hAnsi="Arial" w:cs="Arial"/>
          <w:sz w:val="24"/>
          <w:szCs w:val="24"/>
        </w:rPr>
        <w:t>(Source: NPPF)</w:t>
      </w:r>
    </w:p>
    <w:p w14:paraId="0D075232" w14:textId="655C7C5D" w:rsidR="00AF633F" w:rsidRPr="00AF633F" w:rsidRDefault="00AF633F" w:rsidP="00AF633F">
      <w:pPr>
        <w:rPr>
          <w:rFonts w:ascii="Arial" w:hAnsi="Arial" w:cs="Arial"/>
          <w:sz w:val="24"/>
          <w:szCs w:val="24"/>
        </w:rPr>
      </w:pPr>
      <w:r w:rsidRPr="00434FF6">
        <w:rPr>
          <w:rFonts w:ascii="Arial" w:hAnsi="Arial" w:cs="Arial"/>
          <w:b/>
          <w:bCs/>
          <w:sz w:val="24"/>
          <w:szCs w:val="24"/>
        </w:rPr>
        <w:t>Greater Nottingham</w:t>
      </w:r>
      <w:r w:rsidR="00434FF6" w:rsidRPr="00434FF6">
        <w:rPr>
          <w:rFonts w:ascii="Arial" w:hAnsi="Arial" w:cs="Arial"/>
          <w:b/>
          <w:bCs/>
          <w:sz w:val="24"/>
          <w:szCs w:val="24"/>
        </w:rPr>
        <w:t>:</w:t>
      </w:r>
      <w:r w:rsidR="00434FF6">
        <w:rPr>
          <w:rFonts w:ascii="Arial" w:hAnsi="Arial" w:cs="Arial"/>
          <w:sz w:val="24"/>
          <w:szCs w:val="24"/>
        </w:rPr>
        <w:t xml:space="preserve"> </w:t>
      </w:r>
      <w:r w:rsidR="003C68E6" w:rsidRPr="003C68E6">
        <w:rPr>
          <w:rFonts w:ascii="Arial" w:hAnsi="Arial" w:cs="Arial"/>
          <w:sz w:val="24"/>
          <w:szCs w:val="24"/>
        </w:rPr>
        <w:t xml:space="preserve">Is made up of the administrative areas of Broxtowe, Erewash, Gedling, Nottingham City and Rushcliffe Councils and the Hucknall part of Ashfield </w:t>
      </w:r>
      <w:r w:rsidR="003C68E6" w:rsidRPr="00B5691F">
        <w:rPr>
          <w:rFonts w:ascii="Arial" w:hAnsi="Arial" w:cs="Arial"/>
          <w:sz w:val="24"/>
          <w:szCs w:val="24"/>
        </w:rPr>
        <w:t xml:space="preserve">Council. </w:t>
      </w:r>
      <w:r w:rsidR="00B5691F" w:rsidRPr="00B5691F">
        <w:rPr>
          <w:rFonts w:ascii="Arial" w:hAnsi="Arial" w:cs="Arial"/>
          <w:sz w:val="24"/>
          <w:szCs w:val="24"/>
        </w:rPr>
        <w:t xml:space="preserve">  (Source: </w:t>
      </w:r>
      <w:r w:rsidR="002F1F39">
        <w:rPr>
          <w:rFonts w:ascii="Arial" w:hAnsi="Arial" w:cs="Arial"/>
          <w:sz w:val="24"/>
          <w:szCs w:val="24"/>
        </w:rPr>
        <w:t>Greater Nottingham Strategic Plan</w:t>
      </w:r>
      <w:r w:rsidR="00B5691F" w:rsidRPr="00B5691F">
        <w:rPr>
          <w:rFonts w:ascii="Arial" w:hAnsi="Arial" w:cs="Arial"/>
          <w:sz w:val="24"/>
          <w:szCs w:val="24"/>
        </w:rPr>
        <w:t>)</w:t>
      </w:r>
    </w:p>
    <w:p w14:paraId="2EAF17DE" w14:textId="66BDB9D9" w:rsidR="00AF633F" w:rsidRPr="00AF633F" w:rsidRDefault="00AF633F" w:rsidP="00AF633F">
      <w:pPr>
        <w:rPr>
          <w:rFonts w:ascii="Arial" w:hAnsi="Arial" w:cs="Arial"/>
          <w:sz w:val="24"/>
          <w:szCs w:val="24"/>
        </w:rPr>
      </w:pPr>
      <w:r w:rsidRPr="00434FF6">
        <w:rPr>
          <w:rFonts w:ascii="Arial" w:hAnsi="Arial" w:cs="Arial"/>
          <w:b/>
          <w:bCs/>
          <w:sz w:val="24"/>
          <w:szCs w:val="24"/>
        </w:rPr>
        <w:t>Green Belt:</w:t>
      </w:r>
      <w:r w:rsidRPr="00AF633F">
        <w:rPr>
          <w:rFonts w:ascii="Arial" w:hAnsi="Arial" w:cs="Arial"/>
          <w:sz w:val="24"/>
          <w:szCs w:val="24"/>
        </w:rPr>
        <w:t xml:space="preserve"> </w:t>
      </w:r>
      <w:r w:rsidR="003C68E6" w:rsidRPr="003C68E6">
        <w:rPr>
          <w:rFonts w:ascii="Arial" w:hAnsi="Arial" w:cs="Arial"/>
          <w:sz w:val="24"/>
          <w:szCs w:val="24"/>
        </w:rPr>
        <w:t>A</w:t>
      </w:r>
      <w:r w:rsidR="00B5691F">
        <w:rPr>
          <w:rFonts w:ascii="Arial" w:hAnsi="Arial" w:cs="Arial"/>
          <w:sz w:val="24"/>
          <w:szCs w:val="24"/>
        </w:rPr>
        <w:t xml:space="preserve"> designation intended to prevent urban sprawl by keeping land permanently open.  The essential characteristics of Green Belts are their openness and their permanence.  </w:t>
      </w:r>
      <w:r w:rsidR="00B5691F" w:rsidRPr="00A14AA6">
        <w:rPr>
          <w:rFonts w:ascii="Arial" w:hAnsi="Arial" w:cs="Arial"/>
          <w:sz w:val="24"/>
          <w:szCs w:val="24"/>
        </w:rPr>
        <w:t>(Source: NPPF)</w:t>
      </w:r>
    </w:p>
    <w:p w14:paraId="5E50A257" w14:textId="4D0B6B3A" w:rsidR="00434FF6" w:rsidRDefault="00AF633F" w:rsidP="00AF633F">
      <w:pPr>
        <w:rPr>
          <w:rFonts w:ascii="Arial" w:hAnsi="Arial" w:cs="Arial"/>
          <w:sz w:val="24"/>
          <w:szCs w:val="24"/>
        </w:rPr>
      </w:pPr>
      <w:r w:rsidRPr="00434FF6">
        <w:rPr>
          <w:rFonts w:ascii="Arial" w:hAnsi="Arial" w:cs="Arial"/>
          <w:b/>
          <w:bCs/>
          <w:sz w:val="24"/>
          <w:szCs w:val="24"/>
        </w:rPr>
        <w:t>Inappropriate Development:</w:t>
      </w:r>
      <w:r w:rsidRPr="00AF633F">
        <w:rPr>
          <w:rFonts w:ascii="Arial" w:hAnsi="Arial" w:cs="Arial"/>
          <w:sz w:val="24"/>
          <w:szCs w:val="24"/>
        </w:rPr>
        <w:t xml:space="preserve"> As defined in paragraphs </w:t>
      </w:r>
      <w:r w:rsidR="003C68E6">
        <w:rPr>
          <w:rFonts w:ascii="Arial" w:hAnsi="Arial" w:cs="Arial"/>
          <w:sz w:val="24"/>
          <w:szCs w:val="24"/>
        </w:rPr>
        <w:t>153-155</w:t>
      </w:r>
      <w:r w:rsidR="00D60EEA">
        <w:rPr>
          <w:rFonts w:ascii="Arial" w:hAnsi="Arial" w:cs="Arial"/>
          <w:sz w:val="24"/>
          <w:szCs w:val="24"/>
        </w:rPr>
        <w:t xml:space="preserve"> </w:t>
      </w:r>
      <w:r w:rsidRPr="00AF633F">
        <w:rPr>
          <w:rFonts w:ascii="Arial" w:hAnsi="Arial" w:cs="Arial"/>
          <w:sz w:val="24"/>
          <w:szCs w:val="24"/>
        </w:rPr>
        <w:t>of the NPPF.</w:t>
      </w:r>
      <w:r w:rsidR="00434FF6">
        <w:rPr>
          <w:rFonts w:ascii="Arial" w:hAnsi="Arial" w:cs="Arial"/>
          <w:sz w:val="24"/>
          <w:szCs w:val="24"/>
        </w:rPr>
        <w:t xml:space="preserve"> </w:t>
      </w:r>
    </w:p>
    <w:p w14:paraId="607C572D" w14:textId="63DAB9CC" w:rsidR="00AF633F" w:rsidRPr="00AF633F" w:rsidRDefault="00AF633F" w:rsidP="00AF633F">
      <w:pPr>
        <w:rPr>
          <w:rFonts w:ascii="Arial" w:hAnsi="Arial" w:cs="Arial"/>
          <w:sz w:val="24"/>
          <w:szCs w:val="24"/>
        </w:rPr>
      </w:pPr>
      <w:r w:rsidRPr="00434FF6">
        <w:rPr>
          <w:rFonts w:ascii="Arial" w:hAnsi="Arial" w:cs="Arial"/>
          <w:b/>
          <w:bCs/>
          <w:sz w:val="24"/>
          <w:szCs w:val="24"/>
        </w:rPr>
        <w:t>Listed Building:</w:t>
      </w:r>
      <w:r w:rsidRPr="00AF633F">
        <w:rPr>
          <w:rFonts w:ascii="Arial" w:hAnsi="Arial" w:cs="Arial"/>
          <w:sz w:val="24"/>
          <w:szCs w:val="24"/>
        </w:rPr>
        <w:t xml:space="preserve"> A building or structure of special architectural or historic interest</w:t>
      </w:r>
      <w:r w:rsidR="003C68E6">
        <w:rPr>
          <w:rFonts w:ascii="Arial" w:hAnsi="Arial" w:cs="Arial"/>
          <w:sz w:val="24"/>
          <w:szCs w:val="24"/>
        </w:rPr>
        <w:t xml:space="preserve">.  </w:t>
      </w:r>
      <w:r w:rsidR="003C68E6" w:rsidRPr="003C68E6">
        <w:rPr>
          <w:rFonts w:ascii="Arial" w:hAnsi="Arial" w:cs="Arial"/>
          <w:sz w:val="24"/>
          <w:szCs w:val="24"/>
        </w:rPr>
        <w:t xml:space="preserve">Listed buildings are graded I, II* or II, with grade I </w:t>
      </w:r>
      <w:proofErr w:type="gramStart"/>
      <w:r w:rsidR="003C68E6" w:rsidRPr="003C68E6">
        <w:rPr>
          <w:rFonts w:ascii="Arial" w:hAnsi="Arial" w:cs="Arial"/>
          <w:sz w:val="24"/>
          <w:szCs w:val="24"/>
        </w:rPr>
        <w:t>being</w:t>
      </w:r>
      <w:proofErr w:type="gramEnd"/>
      <w:r w:rsidR="003C68E6" w:rsidRPr="003C68E6">
        <w:rPr>
          <w:rFonts w:ascii="Arial" w:hAnsi="Arial" w:cs="Arial"/>
          <w:sz w:val="24"/>
          <w:szCs w:val="24"/>
        </w:rPr>
        <w:t xml:space="preserve"> the highest. Listing includes the interior as well as the exterior of the building, and any buildings or permanent structures </w:t>
      </w:r>
      <w:r w:rsidR="00930CFC">
        <w:rPr>
          <w:rFonts w:ascii="Arial" w:hAnsi="Arial" w:cs="Arial"/>
          <w:sz w:val="24"/>
          <w:szCs w:val="24"/>
        </w:rPr>
        <w:t xml:space="preserve">or fixtures </w:t>
      </w:r>
      <w:r w:rsidR="003C68E6" w:rsidRPr="003C68E6">
        <w:rPr>
          <w:rFonts w:ascii="Arial" w:hAnsi="Arial" w:cs="Arial"/>
          <w:sz w:val="24"/>
          <w:szCs w:val="24"/>
        </w:rPr>
        <w:t xml:space="preserve">(e.g. wells) within its curtilage. </w:t>
      </w:r>
      <w:r w:rsidR="003C68E6" w:rsidRPr="00B5691F">
        <w:rPr>
          <w:rFonts w:ascii="Arial" w:hAnsi="Arial" w:cs="Arial"/>
          <w:sz w:val="24"/>
          <w:szCs w:val="24"/>
        </w:rPr>
        <w:t xml:space="preserve">Historic England is responsible for designating buildings for listing in England.  </w:t>
      </w:r>
      <w:r w:rsidR="00B5691F" w:rsidRPr="00B5691F">
        <w:rPr>
          <w:rFonts w:ascii="Arial" w:hAnsi="Arial" w:cs="Arial"/>
          <w:sz w:val="24"/>
          <w:szCs w:val="24"/>
        </w:rPr>
        <w:t>(Source: Greater Nottingham Strategic Plan)</w:t>
      </w:r>
    </w:p>
    <w:p w14:paraId="0D704BCA" w14:textId="274C2F98" w:rsidR="00AF633F" w:rsidRPr="00AF633F" w:rsidRDefault="00AF633F" w:rsidP="00AF633F">
      <w:pPr>
        <w:rPr>
          <w:rFonts w:ascii="Arial" w:hAnsi="Arial" w:cs="Arial"/>
          <w:sz w:val="24"/>
          <w:szCs w:val="24"/>
        </w:rPr>
      </w:pPr>
      <w:r w:rsidRPr="00434FF6">
        <w:rPr>
          <w:rFonts w:ascii="Arial" w:hAnsi="Arial" w:cs="Arial"/>
          <w:b/>
          <w:bCs/>
          <w:sz w:val="24"/>
          <w:szCs w:val="24"/>
        </w:rPr>
        <w:t>Local Plan:</w:t>
      </w:r>
      <w:r w:rsidRPr="00AF633F">
        <w:rPr>
          <w:rFonts w:ascii="Arial" w:hAnsi="Arial" w:cs="Arial"/>
          <w:sz w:val="24"/>
          <w:szCs w:val="24"/>
        </w:rPr>
        <w:t xml:space="preserve"> </w:t>
      </w:r>
      <w:r w:rsidR="003C68E6">
        <w:rPr>
          <w:rFonts w:ascii="Arial" w:hAnsi="Arial" w:cs="Arial"/>
          <w:sz w:val="24"/>
          <w:szCs w:val="24"/>
        </w:rPr>
        <w:t xml:space="preserve">A </w:t>
      </w:r>
      <w:proofErr w:type="gramStart"/>
      <w:r w:rsidR="003C68E6">
        <w:rPr>
          <w:rFonts w:ascii="Arial" w:hAnsi="Arial" w:cs="Arial"/>
          <w:sz w:val="24"/>
          <w:szCs w:val="24"/>
        </w:rPr>
        <w:t>plan for the future</w:t>
      </w:r>
      <w:proofErr w:type="gramEnd"/>
      <w:r w:rsidR="003C68E6">
        <w:rPr>
          <w:rFonts w:ascii="Arial" w:hAnsi="Arial" w:cs="Arial"/>
          <w:sz w:val="24"/>
          <w:szCs w:val="24"/>
        </w:rPr>
        <w:t xml:space="preserve"> development of a local area, drawn up by the local planning authority in consultation with the community, under the Town and Country Planning (Local Planning)</w:t>
      </w:r>
      <w:r w:rsidR="00D73FB3">
        <w:rPr>
          <w:rFonts w:ascii="Arial" w:hAnsi="Arial" w:cs="Arial"/>
          <w:sz w:val="24"/>
          <w:szCs w:val="24"/>
        </w:rPr>
        <w:t xml:space="preserve"> </w:t>
      </w:r>
      <w:r w:rsidR="003C68E6">
        <w:rPr>
          <w:rFonts w:ascii="Arial" w:hAnsi="Arial" w:cs="Arial"/>
          <w:sz w:val="24"/>
          <w:szCs w:val="24"/>
        </w:rPr>
        <w:t xml:space="preserve">(England) Regulations 2012.  A local plan can consist of either strategic or non-strategic policies, or a combination of the two.  </w:t>
      </w:r>
      <w:r w:rsidR="00B5691F">
        <w:rPr>
          <w:rFonts w:ascii="Arial" w:hAnsi="Arial" w:cs="Arial"/>
          <w:sz w:val="24"/>
          <w:szCs w:val="24"/>
        </w:rPr>
        <w:t>(Source: NPPF)</w:t>
      </w:r>
    </w:p>
    <w:p w14:paraId="43B96961" w14:textId="5FF05A20" w:rsidR="00AF633F" w:rsidRPr="00AF633F" w:rsidRDefault="00AF633F" w:rsidP="00AF633F">
      <w:pPr>
        <w:rPr>
          <w:rFonts w:ascii="Arial" w:hAnsi="Arial" w:cs="Arial"/>
          <w:sz w:val="24"/>
          <w:szCs w:val="24"/>
        </w:rPr>
      </w:pPr>
      <w:r w:rsidRPr="00434FF6">
        <w:rPr>
          <w:rFonts w:ascii="Arial" w:hAnsi="Arial" w:cs="Arial"/>
          <w:b/>
          <w:bCs/>
          <w:sz w:val="24"/>
          <w:szCs w:val="24"/>
        </w:rPr>
        <w:lastRenderedPageBreak/>
        <w:t>Local Planning Authority:</w:t>
      </w:r>
      <w:r w:rsidRPr="00AF633F">
        <w:rPr>
          <w:rFonts w:ascii="Arial" w:hAnsi="Arial" w:cs="Arial"/>
          <w:sz w:val="24"/>
          <w:szCs w:val="24"/>
        </w:rPr>
        <w:t xml:space="preserve"> </w:t>
      </w:r>
      <w:r w:rsidR="003C68E6" w:rsidRPr="003C68E6">
        <w:rPr>
          <w:rFonts w:ascii="Arial" w:hAnsi="Arial" w:cs="Arial"/>
          <w:sz w:val="24"/>
          <w:szCs w:val="24"/>
        </w:rPr>
        <w:t>The public authority whose duty it is to carry out specific planning functions for a particular area. All references to local planning authority include the district council, London borough council, county council, Broads Authority, National Park Authority, the Mayor of London and a development corporation, to the extent appropriate to their responsibilities</w:t>
      </w:r>
      <w:r w:rsidR="003C68E6" w:rsidRPr="00B5691F">
        <w:rPr>
          <w:rFonts w:ascii="Arial" w:hAnsi="Arial" w:cs="Arial"/>
          <w:sz w:val="24"/>
          <w:szCs w:val="24"/>
        </w:rPr>
        <w:t xml:space="preserve">. </w:t>
      </w:r>
      <w:r w:rsidR="00B5691F" w:rsidRPr="00B5691F">
        <w:rPr>
          <w:rFonts w:ascii="Arial" w:hAnsi="Arial" w:cs="Arial"/>
          <w:sz w:val="24"/>
          <w:szCs w:val="24"/>
        </w:rPr>
        <w:t xml:space="preserve">  (Source: NPPF)</w:t>
      </w:r>
    </w:p>
    <w:p w14:paraId="6DE5A84C" w14:textId="266144AD" w:rsidR="00AF633F" w:rsidRPr="00AF633F" w:rsidRDefault="00AF633F" w:rsidP="00AF633F">
      <w:pPr>
        <w:rPr>
          <w:rFonts w:ascii="Arial" w:hAnsi="Arial" w:cs="Arial"/>
          <w:sz w:val="24"/>
          <w:szCs w:val="24"/>
        </w:rPr>
      </w:pPr>
      <w:r w:rsidRPr="00434FF6">
        <w:rPr>
          <w:rFonts w:ascii="Arial" w:hAnsi="Arial" w:cs="Arial"/>
          <w:b/>
          <w:bCs/>
          <w:sz w:val="24"/>
          <w:szCs w:val="24"/>
        </w:rPr>
        <w:t>National Planning Policy Framework:</w:t>
      </w:r>
      <w:r w:rsidRPr="00AF633F">
        <w:rPr>
          <w:rFonts w:ascii="Arial" w:hAnsi="Arial" w:cs="Arial"/>
          <w:sz w:val="24"/>
          <w:szCs w:val="24"/>
        </w:rPr>
        <w:t xml:space="preserve"> </w:t>
      </w:r>
      <w:r w:rsidR="00E30929" w:rsidRPr="00E30929">
        <w:rPr>
          <w:rFonts w:ascii="Arial" w:hAnsi="Arial" w:cs="Arial"/>
          <w:sz w:val="24"/>
          <w:szCs w:val="24"/>
        </w:rPr>
        <w:t xml:space="preserve">The NPPF replaced other national planning policy documents (PPG/PPS) and many circulars, streamlining them all into one document. It sets out the Government’s planning policies for England and how these are expected to be applied. It provides a framework within which Local Plans and Neighbourhood Plans can be produced reflecting the needs and priorities of the local area.  </w:t>
      </w:r>
    </w:p>
    <w:p w14:paraId="6C9A9FF3" w14:textId="06C7DE64" w:rsidR="00AF633F" w:rsidRPr="00AF633F" w:rsidRDefault="00AF633F" w:rsidP="00AF633F">
      <w:pPr>
        <w:rPr>
          <w:rFonts w:ascii="Arial" w:hAnsi="Arial" w:cs="Arial"/>
          <w:sz w:val="24"/>
          <w:szCs w:val="24"/>
        </w:rPr>
      </w:pPr>
      <w:r w:rsidRPr="00434FF6">
        <w:rPr>
          <w:rFonts w:ascii="Arial" w:hAnsi="Arial" w:cs="Arial"/>
          <w:b/>
          <w:bCs/>
          <w:sz w:val="24"/>
          <w:szCs w:val="24"/>
        </w:rPr>
        <w:t>Regeneration:</w:t>
      </w:r>
      <w:r w:rsidRPr="00AF633F">
        <w:rPr>
          <w:rFonts w:ascii="Arial" w:hAnsi="Arial" w:cs="Arial"/>
          <w:sz w:val="24"/>
          <w:szCs w:val="24"/>
        </w:rPr>
        <w:t xml:space="preserve"> </w:t>
      </w:r>
      <w:r w:rsidR="00E30929" w:rsidRPr="00E30929">
        <w:rPr>
          <w:rFonts w:ascii="Arial" w:hAnsi="Arial" w:cs="Arial"/>
          <w:sz w:val="24"/>
          <w:szCs w:val="24"/>
        </w:rPr>
        <w:t>Development which delivers wider benefits such as economic prosperity, improved environmental conditions and enhanced wellbeing. This may be in the context of urban and previously developed sites but also applies to development which helps to sustain and revitalise rural areas and villages</w:t>
      </w:r>
      <w:r w:rsidR="00E30929" w:rsidRPr="00B5691F">
        <w:rPr>
          <w:rFonts w:ascii="Arial" w:hAnsi="Arial" w:cs="Arial"/>
          <w:sz w:val="24"/>
          <w:szCs w:val="24"/>
        </w:rPr>
        <w:t xml:space="preserve">. </w:t>
      </w:r>
      <w:r w:rsidR="00B5691F" w:rsidRPr="00B5691F">
        <w:rPr>
          <w:rFonts w:ascii="Arial" w:hAnsi="Arial" w:cs="Arial"/>
          <w:sz w:val="24"/>
          <w:szCs w:val="24"/>
        </w:rPr>
        <w:t xml:space="preserve">  (Source: </w:t>
      </w:r>
      <w:r w:rsidR="002F1F39">
        <w:rPr>
          <w:rFonts w:ascii="Arial" w:hAnsi="Arial" w:cs="Arial"/>
          <w:sz w:val="24"/>
          <w:szCs w:val="24"/>
        </w:rPr>
        <w:t>Greater Nottingham Strategic Plan</w:t>
      </w:r>
      <w:r w:rsidR="00B5691F" w:rsidRPr="00B5691F">
        <w:rPr>
          <w:rFonts w:ascii="Arial" w:hAnsi="Arial" w:cs="Arial"/>
          <w:sz w:val="24"/>
          <w:szCs w:val="24"/>
        </w:rPr>
        <w:t>)</w:t>
      </w:r>
    </w:p>
    <w:p w14:paraId="13055DC8" w14:textId="56C3E887" w:rsidR="00AF633F" w:rsidRPr="00AF633F" w:rsidRDefault="00AF633F" w:rsidP="00AF633F">
      <w:pPr>
        <w:rPr>
          <w:rFonts w:ascii="Arial" w:hAnsi="Arial" w:cs="Arial"/>
          <w:sz w:val="24"/>
          <w:szCs w:val="24"/>
        </w:rPr>
      </w:pPr>
      <w:r w:rsidRPr="00DB6809">
        <w:rPr>
          <w:rFonts w:ascii="Arial" w:hAnsi="Arial" w:cs="Arial"/>
          <w:b/>
          <w:bCs/>
          <w:sz w:val="24"/>
          <w:szCs w:val="24"/>
        </w:rPr>
        <w:t>Strategic Housing Land Availability Assessment (SHLAA):</w:t>
      </w:r>
      <w:r w:rsidRPr="00AF633F">
        <w:rPr>
          <w:rFonts w:ascii="Arial" w:hAnsi="Arial" w:cs="Arial"/>
          <w:sz w:val="24"/>
          <w:szCs w:val="24"/>
        </w:rPr>
        <w:t xml:space="preserve"> </w:t>
      </w:r>
      <w:r w:rsidR="00E30929">
        <w:rPr>
          <w:rFonts w:ascii="Arial" w:hAnsi="Arial" w:cs="Arial"/>
          <w:sz w:val="24"/>
          <w:szCs w:val="24"/>
        </w:rPr>
        <w:t xml:space="preserve"> Paragraph 72 of the NPPF requires strategic policy-making authorities to have a clear understanding of </w:t>
      </w:r>
      <w:r w:rsidR="00DB6809">
        <w:rPr>
          <w:rFonts w:ascii="Arial" w:hAnsi="Arial" w:cs="Arial"/>
          <w:sz w:val="24"/>
          <w:szCs w:val="24"/>
        </w:rPr>
        <w:t xml:space="preserve">the land available in their area through the preparation of a strategic housing land availability assessment.  </w:t>
      </w:r>
    </w:p>
    <w:p w14:paraId="1F36C1A7" w14:textId="0192543E" w:rsidR="00AF633F" w:rsidRPr="00AF633F" w:rsidRDefault="00AF633F" w:rsidP="00DB6809">
      <w:pPr>
        <w:rPr>
          <w:rFonts w:ascii="Arial" w:hAnsi="Arial" w:cs="Arial"/>
          <w:sz w:val="24"/>
          <w:szCs w:val="24"/>
        </w:rPr>
      </w:pPr>
      <w:r w:rsidRPr="00434FF6">
        <w:rPr>
          <w:rFonts w:ascii="Arial" w:hAnsi="Arial" w:cs="Arial"/>
          <w:b/>
          <w:bCs/>
          <w:sz w:val="24"/>
          <w:szCs w:val="24"/>
        </w:rPr>
        <w:t>Sustainable Development:</w:t>
      </w:r>
      <w:r w:rsidRPr="00AF633F">
        <w:rPr>
          <w:rFonts w:ascii="Arial" w:hAnsi="Arial" w:cs="Arial"/>
          <w:sz w:val="24"/>
          <w:szCs w:val="24"/>
        </w:rPr>
        <w:t xml:space="preserve"> </w:t>
      </w:r>
      <w:r w:rsidR="00DB6809" w:rsidRPr="00DB6809">
        <w:rPr>
          <w:rStyle w:val="Heading1Char"/>
        </w:rPr>
        <w:t xml:space="preserve"> </w:t>
      </w:r>
      <w:r w:rsidR="00DB6809" w:rsidRPr="00DB6809">
        <w:rPr>
          <w:rStyle w:val="cf01"/>
          <w:rFonts w:ascii="Arial" w:hAnsi="Arial" w:cs="Arial"/>
          <w:sz w:val="24"/>
          <w:szCs w:val="24"/>
        </w:rPr>
        <w:t xml:space="preserve">Paragraph </w:t>
      </w:r>
      <w:r w:rsidR="00031E2D">
        <w:rPr>
          <w:rStyle w:val="cf01"/>
          <w:rFonts w:ascii="Arial" w:hAnsi="Arial" w:cs="Arial"/>
          <w:sz w:val="24"/>
          <w:szCs w:val="24"/>
        </w:rPr>
        <w:t xml:space="preserve">7 footnote </w:t>
      </w:r>
      <w:r w:rsidR="00DB6809" w:rsidRPr="00DB6809">
        <w:rPr>
          <w:rStyle w:val="cf01"/>
          <w:rFonts w:ascii="Arial" w:hAnsi="Arial" w:cs="Arial"/>
          <w:sz w:val="24"/>
          <w:szCs w:val="24"/>
        </w:rPr>
        <w:t>4 of the NPPF refers to Resolution 42/187 of the United Nations General Assembly which defined sustainable development as meeting the needs of the present without compromising the ability of future generations to meet their own needs. The NPPF states that the planning system therefore has overarching and interdependent economic, social and environmental objectives.</w:t>
      </w:r>
      <w:r w:rsidR="00DB6809">
        <w:rPr>
          <w:rStyle w:val="cf01"/>
        </w:rPr>
        <w:t xml:space="preserve"> </w:t>
      </w:r>
    </w:p>
    <w:p w14:paraId="1A557BEC" w14:textId="0C1DA59A" w:rsidR="005A7F41" w:rsidRPr="00AF633F" w:rsidRDefault="005A7F41" w:rsidP="003C68E6">
      <w:pPr>
        <w:rPr>
          <w:rFonts w:ascii="Arial" w:hAnsi="Arial" w:cs="Arial"/>
          <w:sz w:val="24"/>
          <w:szCs w:val="24"/>
        </w:rPr>
      </w:pPr>
    </w:p>
    <w:sectPr w:rsidR="005A7F41" w:rsidRPr="00AF633F">
      <w:headerReference w:type="even" r:id="rId32"/>
      <w:headerReference w:type="default" r:id="rId33"/>
      <w:footerReference w:type="default" r:id="rId34"/>
      <w:head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326F4" w14:textId="77777777" w:rsidR="0084336A" w:rsidRDefault="0084336A" w:rsidP="00715557">
      <w:pPr>
        <w:spacing w:after="0" w:line="240" w:lineRule="auto"/>
      </w:pPr>
      <w:r>
        <w:separator/>
      </w:r>
    </w:p>
  </w:endnote>
  <w:endnote w:type="continuationSeparator" w:id="0">
    <w:p w14:paraId="271416EB" w14:textId="77777777" w:rsidR="0084336A" w:rsidRDefault="0084336A" w:rsidP="00715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34197" w14:textId="77777777" w:rsidR="00715557" w:rsidRDefault="00715557">
    <w:pPr>
      <w:pStyle w:val="Footer"/>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01C79E35" w14:textId="77777777" w:rsidR="00715557" w:rsidRDefault="00715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4EF85" w14:textId="77777777" w:rsidR="0084336A" w:rsidRDefault="0084336A" w:rsidP="00715557">
      <w:pPr>
        <w:spacing w:after="0" w:line="240" w:lineRule="auto"/>
      </w:pPr>
      <w:r>
        <w:separator/>
      </w:r>
    </w:p>
  </w:footnote>
  <w:footnote w:type="continuationSeparator" w:id="0">
    <w:p w14:paraId="443585BE" w14:textId="77777777" w:rsidR="0084336A" w:rsidRDefault="0084336A" w:rsidP="00715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536D0" w14:textId="5AAE696F" w:rsidR="005B4659" w:rsidRDefault="005B4659">
    <w:pPr>
      <w:pStyle w:val="Header"/>
    </w:pPr>
    <w:r>
      <w:rPr>
        <w:noProof/>
      </w:rPr>
      <mc:AlternateContent>
        <mc:Choice Requires="wps">
          <w:drawing>
            <wp:anchor distT="0" distB="0" distL="0" distR="0" simplePos="0" relativeHeight="251659264" behindDoc="0" locked="0" layoutInCell="1" allowOverlap="1" wp14:anchorId="700FBD8F" wp14:editId="5057D180">
              <wp:simplePos x="635" y="635"/>
              <wp:positionH relativeFrom="page">
                <wp:align>center</wp:align>
              </wp:positionH>
              <wp:positionV relativeFrom="page">
                <wp:align>top</wp:align>
              </wp:positionV>
              <wp:extent cx="551815" cy="404495"/>
              <wp:effectExtent l="0" t="0" r="635" b="14605"/>
              <wp:wrapNone/>
              <wp:docPr id="16519629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FFCE23" w14:textId="4F940ABA" w:rsidR="005B4659" w:rsidRPr="005B4659" w:rsidRDefault="005B4659" w:rsidP="005B4659">
                          <w:pPr>
                            <w:spacing w:after="0"/>
                            <w:rPr>
                              <w:rFonts w:ascii="Calibri" w:eastAsia="Calibri" w:hAnsi="Calibri" w:cs="Calibri"/>
                              <w:noProof/>
                              <w:color w:val="000000"/>
                              <w:sz w:val="24"/>
                              <w:szCs w:val="24"/>
                            </w:rPr>
                          </w:pPr>
                          <w:r w:rsidRPr="005B4659">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0FBD8F" id="_x0000_t202" coordsize="21600,21600" o:spt="202" path="m,l,21600r21600,l21600,xe">
              <v:stroke joinstyle="miter"/>
              <v:path gradientshapeok="t" o:connecttype="rect"/>
            </v:shapetype>
            <v:shape id="Text Box 2" o:spid="_x0000_s1027"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BFFCE23" w14:textId="4F940ABA" w:rsidR="005B4659" w:rsidRPr="005B4659" w:rsidRDefault="005B4659" w:rsidP="005B4659">
                    <w:pPr>
                      <w:spacing w:after="0"/>
                      <w:rPr>
                        <w:rFonts w:ascii="Calibri" w:eastAsia="Calibri" w:hAnsi="Calibri" w:cs="Calibri"/>
                        <w:noProof/>
                        <w:color w:val="000000"/>
                        <w:sz w:val="24"/>
                        <w:szCs w:val="24"/>
                      </w:rPr>
                    </w:pPr>
                    <w:r w:rsidRPr="005B4659">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EACEA" w14:textId="11075274" w:rsidR="005B4659" w:rsidRDefault="005B4659">
    <w:pPr>
      <w:pStyle w:val="Header"/>
    </w:pPr>
    <w:r>
      <w:rPr>
        <w:noProof/>
      </w:rPr>
      <mc:AlternateContent>
        <mc:Choice Requires="wps">
          <w:drawing>
            <wp:anchor distT="0" distB="0" distL="0" distR="0" simplePos="0" relativeHeight="251660288" behindDoc="0" locked="0" layoutInCell="1" allowOverlap="1" wp14:anchorId="60F2D8DF" wp14:editId="10703DE7">
              <wp:simplePos x="914400" y="447675"/>
              <wp:positionH relativeFrom="page">
                <wp:align>center</wp:align>
              </wp:positionH>
              <wp:positionV relativeFrom="page">
                <wp:align>top</wp:align>
              </wp:positionV>
              <wp:extent cx="551815" cy="404495"/>
              <wp:effectExtent l="0" t="0" r="635" b="14605"/>
              <wp:wrapNone/>
              <wp:docPr id="3947802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804D771" w14:textId="75A7CEB0" w:rsidR="005B4659" w:rsidRPr="005B4659" w:rsidRDefault="005B4659" w:rsidP="005B4659">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F2D8DF" id="_x0000_t202" coordsize="21600,21600" o:spt="202" path="m,l,21600r21600,l21600,xe">
              <v:stroke joinstyle="miter"/>
              <v:path gradientshapeok="t" o:connecttype="rect"/>
            </v:shapetype>
            <v:shape id="Text Box 3" o:spid="_x0000_s1028"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0804D771" w14:textId="75A7CEB0" w:rsidR="005B4659" w:rsidRPr="005B4659" w:rsidRDefault="005B4659" w:rsidP="005B4659">
                    <w:pPr>
                      <w:spacing w:after="0"/>
                      <w:rPr>
                        <w:rFonts w:ascii="Calibri" w:eastAsia="Calibri" w:hAnsi="Calibri" w:cs="Calibri"/>
                        <w:noProof/>
                        <w:color w:val="00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41AA" w14:textId="7244B460" w:rsidR="005B4659" w:rsidRDefault="005B4659">
    <w:pPr>
      <w:pStyle w:val="Header"/>
    </w:pPr>
    <w:r>
      <w:rPr>
        <w:noProof/>
      </w:rPr>
      <mc:AlternateContent>
        <mc:Choice Requires="wps">
          <w:drawing>
            <wp:anchor distT="0" distB="0" distL="0" distR="0" simplePos="0" relativeHeight="251658240" behindDoc="0" locked="0" layoutInCell="1" allowOverlap="1" wp14:anchorId="50C8CB93" wp14:editId="6E523749">
              <wp:simplePos x="635" y="635"/>
              <wp:positionH relativeFrom="page">
                <wp:align>center</wp:align>
              </wp:positionH>
              <wp:positionV relativeFrom="page">
                <wp:align>top</wp:align>
              </wp:positionV>
              <wp:extent cx="551815" cy="404495"/>
              <wp:effectExtent l="0" t="0" r="635" b="14605"/>
              <wp:wrapNone/>
              <wp:docPr id="89727146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F45F50B" w14:textId="39D6AC5F" w:rsidR="005B4659" w:rsidRPr="005B4659" w:rsidRDefault="005B4659" w:rsidP="005B4659">
                          <w:pPr>
                            <w:spacing w:after="0"/>
                            <w:rPr>
                              <w:rFonts w:ascii="Calibri" w:eastAsia="Calibri" w:hAnsi="Calibri" w:cs="Calibri"/>
                              <w:noProof/>
                              <w:color w:val="000000"/>
                              <w:sz w:val="24"/>
                              <w:szCs w:val="24"/>
                            </w:rPr>
                          </w:pPr>
                          <w:r w:rsidRPr="005B4659">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C8CB93" id="_x0000_t202" coordsize="21600,21600" o:spt="202" path="m,l,21600r21600,l21600,xe">
              <v:stroke joinstyle="miter"/>
              <v:path gradientshapeok="t" o:connecttype="rect"/>
            </v:shapetype>
            <v:shape id="Text Box 1" o:spid="_x0000_s1029"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7F45F50B" w14:textId="39D6AC5F" w:rsidR="005B4659" w:rsidRPr="005B4659" w:rsidRDefault="005B4659" w:rsidP="005B4659">
                    <w:pPr>
                      <w:spacing w:after="0"/>
                      <w:rPr>
                        <w:rFonts w:ascii="Calibri" w:eastAsia="Calibri" w:hAnsi="Calibri" w:cs="Calibri"/>
                        <w:noProof/>
                        <w:color w:val="000000"/>
                        <w:sz w:val="24"/>
                        <w:szCs w:val="24"/>
                      </w:rPr>
                    </w:pPr>
                    <w:r w:rsidRPr="005B4659">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6CC9"/>
    <w:multiLevelType w:val="hybridMultilevel"/>
    <w:tmpl w:val="51C20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63FBF"/>
    <w:multiLevelType w:val="hybridMultilevel"/>
    <w:tmpl w:val="75E8BA44"/>
    <w:lvl w:ilvl="0" w:tplc="384C19DA">
      <w:start w:val="1"/>
      <w:numFmt w:val="bullet"/>
      <w:lvlText w:val=""/>
      <w:lvlJc w:val="left"/>
      <w:pPr>
        <w:ind w:left="1480" w:hanging="360"/>
      </w:pPr>
      <w:rPr>
        <w:rFonts w:ascii="Symbol" w:hAnsi="Symbol"/>
      </w:rPr>
    </w:lvl>
    <w:lvl w:ilvl="1" w:tplc="202EC4EA">
      <w:start w:val="1"/>
      <w:numFmt w:val="bullet"/>
      <w:lvlText w:val=""/>
      <w:lvlJc w:val="left"/>
      <w:pPr>
        <w:ind w:left="1480" w:hanging="360"/>
      </w:pPr>
      <w:rPr>
        <w:rFonts w:ascii="Symbol" w:hAnsi="Symbol"/>
      </w:rPr>
    </w:lvl>
    <w:lvl w:ilvl="2" w:tplc="CD8C1700">
      <w:start w:val="1"/>
      <w:numFmt w:val="bullet"/>
      <w:lvlText w:val=""/>
      <w:lvlJc w:val="left"/>
      <w:pPr>
        <w:ind w:left="1480" w:hanging="360"/>
      </w:pPr>
      <w:rPr>
        <w:rFonts w:ascii="Symbol" w:hAnsi="Symbol"/>
      </w:rPr>
    </w:lvl>
    <w:lvl w:ilvl="3" w:tplc="DA8A7F44">
      <w:start w:val="1"/>
      <w:numFmt w:val="bullet"/>
      <w:lvlText w:val=""/>
      <w:lvlJc w:val="left"/>
      <w:pPr>
        <w:ind w:left="1480" w:hanging="360"/>
      </w:pPr>
      <w:rPr>
        <w:rFonts w:ascii="Symbol" w:hAnsi="Symbol"/>
      </w:rPr>
    </w:lvl>
    <w:lvl w:ilvl="4" w:tplc="E19232B0">
      <w:start w:val="1"/>
      <w:numFmt w:val="bullet"/>
      <w:lvlText w:val=""/>
      <w:lvlJc w:val="left"/>
      <w:pPr>
        <w:ind w:left="1480" w:hanging="360"/>
      </w:pPr>
      <w:rPr>
        <w:rFonts w:ascii="Symbol" w:hAnsi="Symbol"/>
      </w:rPr>
    </w:lvl>
    <w:lvl w:ilvl="5" w:tplc="F2400CC8">
      <w:start w:val="1"/>
      <w:numFmt w:val="bullet"/>
      <w:lvlText w:val=""/>
      <w:lvlJc w:val="left"/>
      <w:pPr>
        <w:ind w:left="1480" w:hanging="360"/>
      </w:pPr>
      <w:rPr>
        <w:rFonts w:ascii="Symbol" w:hAnsi="Symbol"/>
      </w:rPr>
    </w:lvl>
    <w:lvl w:ilvl="6" w:tplc="9B909446">
      <w:start w:val="1"/>
      <w:numFmt w:val="bullet"/>
      <w:lvlText w:val=""/>
      <w:lvlJc w:val="left"/>
      <w:pPr>
        <w:ind w:left="1480" w:hanging="360"/>
      </w:pPr>
      <w:rPr>
        <w:rFonts w:ascii="Symbol" w:hAnsi="Symbol"/>
      </w:rPr>
    </w:lvl>
    <w:lvl w:ilvl="7" w:tplc="D62014B2">
      <w:start w:val="1"/>
      <w:numFmt w:val="bullet"/>
      <w:lvlText w:val=""/>
      <w:lvlJc w:val="left"/>
      <w:pPr>
        <w:ind w:left="1480" w:hanging="360"/>
      </w:pPr>
      <w:rPr>
        <w:rFonts w:ascii="Symbol" w:hAnsi="Symbol"/>
      </w:rPr>
    </w:lvl>
    <w:lvl w:ilvl="8" w:tplc="2E7245CA">
      <w:start w:val="1"/>
      <w:numFmt w:val="bullet"/>
      <w:lvlText w:val=""/>
      <w:lvlJc w:val="left"/>
      <w:pPr>
        <w:ind w:left="1480" w:hanging="360"/>
      </w:pPr>
      <w:rPr>
        <w:rFonts w:ascii="Symbol" w:hAnsi="Symbol"/>
      </w:rPr>
    </w:lvl>
  </w:abstractNum>
  <w:abstractNum w:abstractNumId="2" w15:restartNumberingAfterBreak="0">
    <w:nsid w:val="0AA50D4B"/>
    <w:multiLevelType w:val="multilevel"/>
    <w:tmpl w:val="7D08F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5"/>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544474"/>
    <w:multiLevelType w:val="hybridMultilevel"/>
    <w:tmpl w:val="948A10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B61C59"/>
    <w:multiLevelType w:val="hybridMultilevel"/>
    <w:tmpl w:val="5F688DD2"/>
    <w:lvl w:ilvl="0" w:tplc="9E0CDE78">
      <w:start w:val="5"/>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E1B0110"/>
    <w:multiLevelType w:val="hybridMultilevel"/>
    <w:tmpl w:val="E266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6E2654"/>
    <w:multiLevelType w:val="hybridMultilevel"/>
    <w:tmpl w:val="A94C3C5A"/>
    <w:lvl w:ilvl="0" w:tplc="9DEAB8D8">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36B3416B"/>
    <w:multiLevelType w:val="hybridMultilevel"/>
    <w:tmpl w:val="C09A559C"/>
    <w:lvl w:ilvl="0" w:tplc="BA54C17E">
      <w:start w:val="1"/>
      <w:numFmt w:val="bullet"/>
      <w:lvlText w:val=""/>
      <w:lvlJc w:val="left"/>
      <w:pPr>
        <w:ind w:left="1480" w:hanging="360"/>
      </w:pPr>
      <w:rPr>
        <w:rFonts w:ascii="Symbol" w:hAnsi="Symbol"/>
      </w:rPr>
    </w:lvl>
    <w:lvl w:ilvl="1" w:tplc="957E8506">
      <w:start w:val="1"/>
      <w:numFmt w:val="bullet"/>
      <w:lvlText w:val=""/>
      <w:lvlJc w:val="left"/>
      <w:pPr>
        <w:ind w:left="1480" w:hanging="360"/>
      </w:pPr>
      <w:rPr>
        <w:rFonts w:ascii="Symbol" w:hAnsi="Symbol"/>
      </w:rPr>
    </w:lvl>
    <w:lvl w:ilvl="2" w:tplc="B19C4774">
      <w:start w:val="1"/>
      <w:numFmt w:val="bullet"/>
      <w:lvlText w:val=""/>
      <w:lvlJc w:val="left"/>
      <w:pPr>
        <w:ind w:left="1480" w:hanging="360"/>
      </w:pPr>
      <w:rPr>
        <w:rFonts w:ascii="Symbol" w:hAnsi="Symbol"/>
      </w:rPr>
    </w:lvl>
    <w:lvl w:ilvl="3" w:tplc="AB6265CE">
      <w:start w:val="1"/>
      <w:numFmt w:val="bullet"/>
      <w:lvlText w:val=""/>
      <w:lvlJc w:val="left"/>
      <w:pPr>
        <w:ind w:left="1480" w:hanging="360"/>
      </w:pPr>
      <w:rPr>
        <w:rFonts w:ascii="Symbol" w:hAnsi="Symbol"/>
      </w:rPr>
    </w:lvl>
    <w:lvl w:ilvl="4" w:tplc="E96EC3E2">
      <w:start w:val="1"/>
      <w:numFmt w:val="bullet"/>
      <w:lvlText w:val=""/>
      <w:lvlJc w:val="left"/>
      <w:pPr>
        <w:ind w:left="1480" w:hanging="360"/>
      </w:pPr>
      <w:rPr>
        <w:rFonts w:ascii="Symbol" w:hAnsi="Symbol"/>
      </w:rPr>
    </w:lvl>
    <w:lvl w:ilvl="5" w:tplc="656A2798">
      <w:start w:val="1"/>
      <w:numFmt w:val="bullet"/>
      <w:lvlText w:val=""/>
      <w:lvlJc w:val="left"/>
      <w:pPr>
        <w:ind w:left="1480" w:hanging="360"/>
      </w:pPr>
      <w:rPr>
        <w:rFonts w:ascii="Symbol" w:hAnsi="Symbol"/>
      </w:rPr>
    </w:lvl>
    <w:lvl w:ilvl="6" w:tplc="75549CC6">
      <w:start w:val="1"/>
      <w:numFmt w:val="bullet"/>
      <w:lvlText w:val=""/>
      <w:lvlJc w:val="left"/>
      <w:pPr>
        <w:ind w:left="1480" w:hanging="360"/>
      </w:pPr>
      <w:rPr>
        <w:rFonts w:ascii="Symbol" w:hAnsi="Symbol"/>
      </w:rPr>
    </w:lvl>
    <w:lvl w:ilvl="7" w:tplc="C372828A">
      <w:start w:val="1"/>
      <w:numFmt w:val="bullet"/>
      <w:lvlText w:val=""/>
      <w:lvlJc w:val="left"/>
      <w:pPr>
        <w:ind w:left="1480" w:hanging="360"/>
      </w:pPr>
      <w:rPr>
        <w:rFonts w:ascii="Symbol" w:hAnsi="Symbol"/>
      </w:rPr>
    </w:lvl>
    <w:lvl w:ilvl="8" w:tplc="4A2CECC2">
      <w:start w:val="1"/>
      <w:numFmt w:val="bullet"/>
      <w:lvlText w:val=""/>
      <w:lvlJc w:val="left"/>
      <w:pPr>
        <w:ind w:left="1480" w:hanging="360"/>
      </w:pPr>
      <w:rPr>
        <w:rFonts w:ascii="Symbol" w:hAnsi="Symbol"/>
      </w:rPr>
    </w:lvl>
  </w:abstractNum>
  <w:abstractNum w:abstractNumId="8" w15:restartNumberingAfterBreak="0">
    <w:nsid w:val="39EC53FB"/>
    <w:multiLevelType w:val="multilevel"/>
    <w:tmpl w:val="28444152"/>
    <w:lvl w:ilvl="0">
      <w:start w:val="5"/>
      <w:numFmt w:val="decimal"/>
      <w:lvlText w:val="%1"/>
      <w:lvlJc w:val="left"/>
      <w:pPr>
        <w:ind w:left="460" w:hanging="460"/>
      </w:pPr>
      <w:rPr>
        <w:rFonts w:hint="default"/>
      </w:rPr>
    </w:lvl>
    <w:lvl w:ilvl="1">
      <w:start w:val="14"/>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CAF4F23"/>
    <w:multiLevelType w:val="multilevel"/>
    <w:tmpl w:val="8DBE572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3B4C55"/>
    <w:multiLevelType w:val="hybridMultilevel"/>
    <w:tmpl w:val="87568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52664"/>
    <w:multiLevelType w:val="multilevel"/>
    <w:tmpl w:val="735C1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5"/>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3C3B53"/>
    <w:multiLevelType w:val="multilevel"/>
    <w:tmpl w:val="475A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B24E17"/>
    <w:multiLevelType w:val="multilevel"/>
    <w:tmpl w:val="3F6A1D4A"/>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FCA432F"/>
    <w:multiLevelType w:val="hybridMultilevel"/>
    <w:tmpl w:val="49C44AD0"/>
    <w:lvl w:ilvl="0" w:tplc="84342192">
      <w:start w:val="1"/>
      <w:numFmt w:val="bullet"/>
      <w:lvlText w:val=""/>
      <w:lvlJc w:val="left"/>
      <w:pPr>
        <w:ind w:left="760" w:hanging="360"/>
      </w:pPr>
      <w:rPr>
        <w:rFonts w:ascii="Symbol" w:hAnsi="Symbol"/>
      </w:rPr>
    </w:lvl>
    <w:lvl w:ilvl="1" w:tplc="33CEAED4">
      <w:start w:val="1"/>
      <w:numFmt w:val="bullet"/>
      <w:lvlText w:val=""/>
      <w:lvlJc w:val="left"/>
      <w:pPr>
        <w:ind w:left="760" w:hanging="360"/>
      </w:pPr>
      <w:rPr>
        <w:rFonts w:ascii="Symbol" w:hAnsi="Symbol"/>
      </w:rPr>
    </w:lvl>
    <w:lvl w:ilvl="2" w:tplc="6908B626">
      <w:start w:val="1"/>
      <w:numFmt w:val="bullet"/>
      <w:lvlText w:val=""/>
      <w:lvlJc w:val="left"/>
      <w:pPr>
        <w:ind w:left="760" w:hanging="360"/>
      </w:pPr>
      <w:rPr>
        <w:rFonts w:ascii="Symbol" w:hAnsi="Symbol"/>
      </w:rPr>
    </w:lvl>
    <w:lvl w:ilvl="3" w:tplc="79D8E6D6">
      <w:start w:val="1"/>
      <w:numFmt w:val="bullet"/>
      <w:lvlText w:val=""/>
      <w:lvlJc w:val="left"/>
      <w:pPr>
        <w:ind w:left="760" w:hanging="360"/>
      </w:pPr>
      <w:rPr>
        <w:rFonts w:ascii="Symbol" w:hAnsi="Symbol"/>
      </w:rPr>
    </w:lvl>
    <w:lvl w:ilvl="4" w:tplc="354C0D3A">
      <w:start w:val="1"/>
      <w:numFmt w:val="bullet"/>
      <w:lvlText w:val=""/>
      <w:lvlJc w:val="left"/>
      <w:pPr>
        <w:ind w:left="760" w:hanging="360"/>
      </w:pPr>
      <w:rPr>
        <w:rFonts w:ascii="Symbol" w:hAnsi="Symbol"/>
      </w:rPr>
    </w:lvl>
    <w:lvl w:ilvl="5" w:tplc="C7C0A1E4">
      <w:start w:val="1"/>
      <w:numFmt w:val="bullet"/>
      <w:lvlText w:val=""/>
      <w:lvlJc w:val="left"/>
      <w:pPr>
        <w:ind w:left="760" w:hanging="360"/>
      </w:pPr>
      <w:rPr>
        <w:rFonts w:ascii="Symbol" w:hAnsi="Symbol"/>
      </w:rPr>
    </w:lvl>
    <w:lvl w:ilvl="6" w:tplc="2E4C654E">
      <w:start w:val="1"/>
      <w:numFmt w:val="bullet"/>
      <w:lvlText w:val=""/>
      <w:lvlJc w:val="left"/>
      <w:pPr>
        <w:ind w:left="760" w:hanging="360"/>
      </w:pPr>
      <w:rPr>
        <w:rFonts w:ascii="Symbol" w:hAnsi="Symbol"/>
      </w:rPr>
    </w:lvl>
    <w:lvl w:ilvl="7" w:tplc="DF684912">
      <w:start w:val="1"/>
      <w:numFmt w:val="bullet"/>
      <w:lvlText w:val=""/>
      <w:lvlJc w:val="left"/>
      <w:pPr>
        <w:ind w:left="760" w:hanging="360"/>
      </w:pPr>
      <w:rPr>
        <w:rFonts w:ascii="Symbol" w:hAnsi="Symbol"/>
      </w:rPr>
    </w:lvl>
    <w:lvl w:ilvl="8" w:tplc="B066E5A4">
      <w:start w:val="1"/>
      <w:numFmt w:val="bullet"/>
      <w:lvlText w:val=""/>
      <w:lvlJc w:val="left"/>
      <w:pPr>
        <w:ind w:left="760" w:hanging="360"/>
      </w:pPr>
      <w:rPr>
        <w:rFonts w:ascii="Symbol" w:hAnsi="Symbol"/>
      </w:rPr>
    </w:lvl>
  </w:abstractNum>
  <w:abstractNum w:abstractNumId="15" w15:restartNumberingAfterBreak="0">
    <w:nsid w:val="50F51894"/>
    <w:multiLevelType w:val="hybridMultilevel"/>
    <w:tmpl w:val="4DF052AE"/>
    <w:lvl w:ilvl="0" w:tplc="653E5B00">
      <w:start w:val="1"/>
      <w:numFmt w:val="bullet"/>
      <w:lvlText w:val=""/>
      <w:lvlJc w:val="left"/>
      <w:pPr>
        <w:ind w:left="720" w:hanging="360"/>
      </w:pPr>
      <w:rPr>
        <w:rFonts w:ascii="Symbol" w:hAnsi="Symbol"/>
      </w:rPr>
    </w:lvl>
    <w:lvl w:ilvl="1" w:tplc="9ECA48FA">
      <w:start w:val="1"/>
      <w:numFmt w:val="bullet"/>
      <w:lvlText w:val=""/>
      <w:lvlJc w:val="left"/>
      <w:pPr>
        <w:ind w:left="720" w:hanging="360"/>
      </w:pPr>
      <w:rPr>
        <w:rFonts w:ascii="Symbol" w:hAnsi="Symbol"/>
      </w:rPr>
    </w:lvl>
    <w:lvl w:ilvl="2" w:tplc="039A950A">
      <w:start w:val="1"/>
      <w:numFmt w:val="bullet"/>
      <w:lvlText w:val=""/>
      <w:lvlJc w:val="left"/>
      <w:pPr>
        <w:ind w:left="720" w:hanging="360"/>
      </w:pPr>
      <w:rPr>
        <w:rFonts w:ascii="Symbol" w:hAnsi="Symbol"/>
      </w:rPr>
    </w:lvl>
    <w:lvl w:ilvl="3" w:tplc="2CC00F2E">
      <w:start w:val="1"/>
      <w:numFmt w:val="bullet"/>
      <w:lvlText w:val=""/>
      <w:lvlJc w:val="left"/>
      <w:pPr>
        <w:ind w:left="720" w:hanging="360"/>
      </w:pPr>
      <w:rPr>
        <w:rFonts w:ascii="Symbol" w:hAnsi="Symbol"/>
      </w:rPr>
    </w:lvl>
    <w:lvl w:ilvl="4" w:tplc="9EA6C25E">
      <w:start w:val="1"/>
      <w:numFmt w:val="bullet"/>
      <w:lvlText w:val=""/>
      <w:lvlJc w:val="left"/>
      <w:pPr>
        <w:ind w:left="720" w:hanging="360"/>
      </w:pPr>
      <w:rPr>
        <w:rFonts w:ascii="Symbol" w:hAnsi="Symbol"/>
      </w:rPr>
    </w:lvl>
    <w:lvl w:ilvl="5" w:tplc="4460858E">
      <w:start w:val="1"/>
      <w:numFmt w:val="bullet"/>
      <w:lvlText w:val=""/>
      <w:lvlJc w:val="left"/>
      <w:pPr>
        <w:ind w:left="720" w:hanging="360"/>
      </w:pPr>
      <w:rPr>
        <w:rFonts w:ascii="Symbol" w:hAnsi="Symbol"/>
      </w:rPr>
    </w:lvl>
    <w:lvl w:ilvl="6" w:tplc="07F81E4C">
      <w:start w:val="1"/>
      <w:numFmt w:val="bullet"/>
      <w:lvlText w:val=""/>
      <w:lvlJc w:val="left"/>
      <w:pPr>
        <w:ind w:left="720" w:hanging="360"/>
      </w:pPr>
      <w:rPr>
        <w:rFonts w:ascii="Symbol" w:hAnsi="Symbol"/>
      </w:rPr>
    </w:lvl>
    <w:lvl w:ilvl="7" w:tplc="D35E7928">
      <w:start w:val="1"/>
      <w:numFmt w:val="bullet"/>
      <w:lvlText w:val=""/>
      <w:lvlJc w:val="left"/>
      <w:pPr>
        <w:ind w:left="720" w:hanging="360"/>
      </w:pPr>
      <w:rPr>
        <w:rFonts w:ascii="Symbol" w:hAnsi="Symbol"/>
      </w:rPr>
    </w:lvl>
    <w:lvl w:ilvl="8" w:tplc="77B4A79E">
      <w:start w:val="1"/>
      <w:numFmt w:val="bullet"/>
      <w:lvlText w:val=""/>
      <w:lvlJc w:val="left"/>
      <w:pPr>
        <w:ind w:left="720" w:hanging="360"/>
      </w:pPr>
      <w:rPr>
        <w:rFonts w:ascii="Symbol" w:hAnsi="Symbol"/>
      </w:rPr>
    </w:lvl>
  </w:abstractNum>
  <w:abstractNum w:abstractNumId="16" w15:restartNumberingAfterBreak="0">
    <w:nsid w:val="529F528C"/>
    <w:multiLevelType w:val="hybridMultilevel"/>
    <w:tmpl w:val="0F2098E8"/>
    <w:lvl w:ilvl="0" w:tplc="99980212">
      <w:start w:val="1"/>
      <w:numFmt w:val="bullet"/>
      <w:lvlText w:val=""/>
      <w:lvlJc w:val="left"/>
      <w:pPr>
        <w:ind w:left="1480" w:hanging="360"/>
      </w:pPr>
      <w:rPr>
        <w:rFonts w:ascii="Symbol" w:hAnsi="Symbol"/>
      </w:rPr>
    </w:lvl>
    <w:lvl w:ilvl="1" w:tplc="E3D4E5E8">
      <w:start w:val="1"/>
      <w:numFmt w:val="bullet"/>
      <w:lvlText w:val=""/>
      <w:lvlJc w:val="left"/>
      <w:pPr>
        <w:ind w:left="1480" w:hanging="360"/>
      </w:pPr>
      <w:rPr>
        <w:rFonts w:ascii="Symbol" w:hAnsi="Symbol"/>
      </w:rPr>
    </w:lvl>
    <w:lvl w:ilvl="2" w:tplc="72965A42">
      <w:start w:val="1"/>
      <w:numFmt w:val="bullet"/>
      <w:lvlText w:val=""/>
      <w:lvlJc w:val="left"/>
      <w:pPr>
        <w:ind w:left="1480" w:hanging="360"/>
      </w:pPr>
      <w:rPr>
        <w:rFonts w:ascii="Symbol" w:hAnsi="Symbol"/>
      </w:rPr>
    </w:lvl>
    <w:lvl w:ilvl="3" w:tplc="EF564728">
      <w:start w:val="1"/>
      <w:numFmt w:val="bullet"/>
      <w:lvlText w:val=""/>
      <w:lvlJc w:val="left"/>
      <w:pPr>
        <w:ind w:left="1480" w:hanging="360"/>
      </w:pPr>
      <w:rPr>
        <w:rFonts w:ascii="Symbol" w:hAnsi="Symbol"/>
      </w:rPr>
    </w:lvl>
    <w:lvl w:ilvl="4" w:tplc="61AEBB16">
      <w:start w:val="1"/>
      <w:numFmt w:val="bullet"/>
      <w:lvlText w:val=""/>
      <w:lvlJc w:val="left"/>
      <w:pPr>
        <w:ind w:left="1480" w:hanging="360"/>
      </w:pPr>
      <w:rPr>
        <w:rFonts w:ascii="Symbol" w:hAnsi="Symbol"/>
      </w:rPr>
    </w:lvl>
    <w:lvl w:ilvl="5" w:tplc="B8C61BFE">
      <w:start w:val="1"/>
      <w:numFmt w:val="bullet"/>
      <w:lvlText w:val=""/>
      <w:lvlJc w:val="left"/>
      <w:pPr>
        <w:ind w:left="1480" w:hanging="360"/>
      </w:pPr>
      <w:rPr>
        <w:rFonts w:ascii="Symbol" w:hAnsi="Symbol"/>
      </w:rPr>
    </w:lvl>
    <w:lvl w:ilvl="6" w:tplc="5A945CE4">
      <w:start w:val="1"/>
      <w:numFmt w:val="bullet"/>
      <w:lvlText w:val=""/>
      <w:lvlJc w:val="left"/>
      <w:pPr>
        <w:ind w:left="1480" w:hanging="360"/>
      </w:pPr>
      <w:rPr>
        <w:rFonts w:ascii="Symbol" w:hAnsi="Symbol"/>
      </w:rPr>
    </w:lvl>
    <w:lvl w:ilvl="7" w:tplc="EB804BE6">
      <w:start w:val="1"/>
      <w:numFmt w:val="bullet"/>
      <w:lvlText w:val=""/>
      <w:lvlJc w:val="left"/>
      <w:pPr>
        <w:ind w:left="1480" w:hanging="360"/>
      </w:pPr>
      <w:rPr>
        <w:rFonts w:ascii="Symbol" w:hAnsi="Symbol"/>
      </w:rPr>
    </w:lvl>
    <w:lvl w:ilvl="8" w:tplc="24702772">
      <w:start w:val="1"/>
      <w:numFmt w:val="bullet"/>
      <w:lvlText w:val=""/>
      <w:lvlJc w:val="left"/>
      <w:pPr>
        <w:ind w:left="1480" w:hanging="360"/>
      </w:pPr>
      <w:rPr>
        <w:rFonts w:ascii="Symbol" w:hAnsi="Symbol"/>
      </w:rPr>
    </w:lvl>
  </w:abstractNum>
  <w:abstractNum w:abstractNumId="17" w15:restartNumberingAfterBreak="0">
    <w:nsid w:val="52C772FB"/>
    <w:multiLevelType w:val="hybridMultilevel"/>
    <w:tmpl w:val="C66C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A4666B"/>
    <w:multiLevelType w:val="hybridMultilevel"/>
    <w:tmpl w:val="A8A67A02"/>
    <w:lvl w:ilvl="0" w:tplc="31C47D50">
      <w:start w:val="1"/>
      <w:numFmt w:val="bullet"/>
      <w:lvlText w:val=""/>
      <w:lvlJc w:val="left"/>
      <w:pPr>
        <w:ind w:left="720" w:hanging="360"/>
      </w:pPr>
      <w:rPr>
        <w:rFonts w:ascii="Symbol" w:hAnsi="Symbol"/>
      </w:rPr>
    </w:lvl>
    <w:lvl w:ilvl="1" w:tplc="DAAEE03E">
      <w:start w:val="1"/>
      <w:numFmt w:val="bullet"/>
      <w:lvlText w:val=""/>
      <w:lvlJc w:val="left"/>
      <w:pPr>
        <w:ind w:left="720" w:hanging="360"/>
      </w:pPr>
      <w:rPr>
        <w:rFonts w:ascii="Symbol" w:hAnsi="Symbol"/>
      </w:rPr>
    </w:lvl>
    <w:lvl w:ilvl="2" w:tplc="27CE6694">
      <w:start w:val="1"/>
      <w:numFmt w:val="bullet"/>
      <w:lvlText w:val=""/>
      <w:lvlJc w:val="left"/>
      <w:pPr>
        <w:ind w:left="720" w:hanging="360"/>
      </w:pPr>
      <w:rPr>
        <w:rFonts w:ascii="Symbol" w:hAnsi="Symbol"/>
      </w:rPr>
    </w:lvl>
    <w:lvl w:ilvl="3" w:tplc="A79A722E">
      <w:start w:val="1"/>
      <w:numFmt w:val="bullet"/>
      <w:lvlText w:val=""/>
      <w:lvlJc w:val="left"/>
      <w:pPr>
        <w:ind w:left="720" w:hanging="360"/>
      </w:pPr>
      <w:rPr>
        <w:rFonts w:ascii="Symbol" w:hAnsi="Symbol"/>
      </w:rPr>
    </w:lvl>
    <w:lvl w:ilvl="4" w:tplc="D39A5692">
      <w:start w:val="1"/>
      <w:numFmt w:val="bullet"/>
      <w:lvlText w:val=""/>
      <w:lvlJc w:val="left"/>
      <w:pPr>
        <w:ind w:left="720" w:hanging="360"/>
      </w:pPr>
      <w:rPr>
        <w:rFonts w:ascii="Symbol" w:hAnsi="Symbol"/>
      </w:rPr>
    </w:lvl>
    <w:lvl w:ilvl="5" w:tplc="A5040DCC">
      <w:start w:val="1"/>
      <w:numFmt w:val="bullet"/>
      <w:lvlText w:val=""/>
      <w:lvlJc w:val="left"/>
      <w:pPr>
        <w:ind w:left="720" w:hanging="360"/>
      </w:pPr>
      <w:rPr>
        <w:rFonts w:ascii="Symbol" w:hAnsi="Symbol"/>
      </w:rPr>
    </w:lvl>
    <w:lvl w:ilvl="6" w:tplc="A1BE895A">
      <w:start w:val="1"/>
      <w:numFmt w:val="bullet"/>
      <w:lvlText w:val=""/>
      <w:lvlJc w:val="left"/>
      <w:pPr>
        <w:ind w:left="720" w:hanging="360"/>
      </w:pPr>
      <w:rPr>
        <w:rFonts w:ascii="Symbol" w:hAnsi="Symbol"/>
      </w:rPr>
    </w:lvl>
    <w:lvl w:ilvl="7" w:tplc="DF10EAAE">
      <w:start w:val="1"/>
      <w:numFmt w:val="bullet"/>
      <w:lvlText w:val=""/>
      <w:lvlJc w:val="left"/>
      <w:pPr>
        <w:ind w:left="720" w:hanging="360"/>
      </w:pPr>
      <w:rPr>
        <w:rFonts w:ascii="Symbol" w:hAnsi="Symbol"/>
      </w:rPr>
    </w:lvl>
    <w:lvl w:ilvl="8" w:tplc="B122048E">
      <w:start w:val="1"/>
      <w:numFmt w:val="bullet"/>
      <w:lvlText w:val=""/>
      <w:lvlJc w:val="left"/>
      <w:pPr>
        <w:ind w:left="720" w:hanging="360"/>
      </w:pPr>
      <w:rPr>
        <w:rFonts w:ascii="Symbol" w:hAnsi="Symbol"/>
      </w:rPr>
    </w:lvl>
  </w:abstractNum>
  <w:abstractNum w:abstractNumId="19" w15:restartNumberingAfterBreak="0">
    <w:nsid w:val="55276EAE"/>
    <w:multiLevelType w:val="hybridMultilevel"/>
    <w:tmpl w:val="90F6A3FC"/>
    <w:lvl w:ilvl="0" w:tplc="85A46224">
      <w:start w:val="1"/>
      <w:numFmt w:val="bullet"/>
      <w:lvlText w:val=""/>
      <w:lvlJc w:val="left"/>
      <w:pPr>
        <w:ind w:left="720" w:hanging="360"/>
      </w:pPr>
      <w:rPr>
        <w:rFonts w:ascii="Symbol" w:hAnsi="Symbol"/>
      </w:rPr>
    </w:lvl>
    <w:lvl w:ilvl="1" w:tplc="83FAB02A">
      <w:start w:val="1"/>
      <w:numFmt w:val="bullet"/>
      <w:lvlText w:val=""/>
      <w:lvlJc w:val="left"/>
      <w:pPr>
        <w:ind w:left="720" w:hanging="360"/>
      </w:pPr>
      <w:rPr>
        <w:rFonts w:ascii="Symbol" w:hAnsi="Symbol"/>
      </w:rPr>
    </w:lvl>
    <w:lvl w:ilvl="2" w:tplc="F104AF18">
      <w:start w:val="1"/>
      <w:numFmt w:val="bullet"/>
      <w:lvlText w:val=""/>
      <w:lvlJc w:val="left"/>
      <w:pPr>
        <w:ind w:left="720" w:hanging="360"/>
      </w:pPr>
      <w:rPr>
        <w:rFonts w:ascii="Symbol" w:hAnsi="Symbol"/>
      </w:rPr>
    </w:lvl>
    <w:lvl w:ilvl="3" w:tplc="DDE8B12C">
      <w:start w:val="1"/>
      <w:numFmt w:val="bullet"/>
      <w:lvlText w:val=""/>
      <w:lvlJc w:val="left"/>
      <w:pPr>
        <w:ind w:left="720" w:hanging="360"/>
      </w:pPr>
      <w:rPr>
        <w:rFonts w:ascii="Symbol" w:hAnsi="Symbol"/>
      </w:rPr>
    </w:lvl>
    <w:lvl w:ilvl="4" w:tplc="87368A12">
      <w:start w:val="1"/>
      <w:numFmt w:val="bullet"/>
      <w:lvlText w:val=""/>
      <w:lvlJc w:val="left"/>
      <w:pPr>
        <w:ind w:left="720" w:hanging="360"/>
      </w:pPr>
      <w:rPr>
        <w:rFonts w:ascii="Symbol" w:hAnsi="Symbol"/>
      </w:rPr>
    </w:lvl>
    <w:lvl w:ilvl="5" w:tplc="42728842">
      <w:start w:val="1"/>
      <w:numFmt w:val="bullet"/>
      <w:lvlText w:val=""/>
      <w:lvlJc w:val="left"/>
      <w:pPr>
        <w:ind w:left="720" w:hanging="360"/>
      </w:pPr>
      <w:rPr>
        <w:rFonts w:ascii="Symbol" w:hAnsi="Symbol"/>
      </w:rPr>
    </w:lvl>
    <w:lvl w:ilvl="6" w:tplc="D4B0E306">
      <w:start w:val="1"/>
      <w:numFmt w:val="bullet"/>
      <w:lvlText w:val=""/>
      <w:lvlJc w:val="left"/>
      <w:pPr>
        <w:ind w:left="720" w:hanging="360"/>
      </w:pPr>
      <w:rPr>
        <w:rFonts w:ascii="Symbol" w:hAnsi="Symbol"/>
      </w:rPr>
    </w:lvl>
    <w:lvl w:ilvl="7" w:tplc="1D1AC268">
      <w:start w:val="1"/>
      <w:numFmt w:val="bullet"/>
      <w:lvlText w:val=""/>
      <w:lvlJc w:val="left"/>
      <w:pPr>
        <w:ind w:left="720" w:hanging="360"/>
      </w:pPr>
      <w:rPr>
        <w:rFonts w:ascii="Symbol" w:hAnsi="Symbol"/>
      </w:rPr>
    </w:lvl>
    <w:lvl w:ilvl="8" w:tplc="8B8AB326">
      <w:start w:val="1"/>
      <w:numFmt w:val="bullet"/>
      <w:lvlText w:val=""/>
      <w:lvlJc w:val="left"/>
      <w:pPr>
        <w:ind w:left="720" w:hanging="360"/>
      </w:pPr>
      <w:rPr>
        <w:rFonts w:ascii="Symbol" w:hAnsi="Symbol"/>
      </w:rPr>
    </w:lvl>
  </w:abstractNum>
  <w:abstractNum w:abstractNumId="20" w15:restartNumberingAfterBreak="0">
    <w:nsid w:val="553C282B"/>
    <w:multiLevelType w:val="multilevel"/>
    <w:tmpl w:val="73329FA0"/>
    <w:lvl w:ilvl="0">
      <w:start w:val="5"/>
      <w:numFmt w:val="decimal"/>
      <w:lvlText w:val="%1"/>
      <w:lvlJc w:val="left"/>
      <w:pPr>
        <w:ind w:left="360" w:hanging="360"/>
      </w:pPr>
      <w:rPr>
        <w:rFonts w:eastAsia="Times New Roman" w:hint="default"/>
        <w:color w:val="0B0C0C"/>
      </w:rPr>
    </w:lvl>
    <w:lvl w:ilvl="1">
      <w:start w:val="8"/>
      <w:numFmt w:val="decimal"/>
      <w:lvlText w:val="%1.%2"/>
      <w:lvlJc w:val="left"/>
      <w:pPr>
        <w:ind w:left="360" w:hanging="360"/>
      </w:pPr>
      <w:rPr>
        <w:rFonts w:eastAsia="Times New Roman" w:hint="default"/>
        <w:color w:val="0B0C0C"/>
      </w:rPr>
    </w:lvl>
    <w:lvl w:ilvl="2">
      <w:start w:val="1"/>
      <w:numFmt w:val="decimal"/>
      <w:lvlText w:val="%1.%2.%3"/>
      <w:lvlJc w:val="left"/>
      <w:pPr>
        <w:ind w:left="720" w:hanging="720"/>
      </w:pPr>
      <w:rPr>
        <w:rFonts w:eastAsia="Times New Roman" w:hint="default"/>
        <w:color w:val="0B0C0C"/>
      </w:rPr>
    </w:lvl>
    <w:lvl w:ilvl="3">
      <w:start w:val="1"/>
      <w:numFmt w:val="decimal"/>
      <w:lvlText w:val="%1.%2.%3.%4"/>
      <w:lvlJc w:val="left"/>
      <w:pPr>
        <w:ind w:left="1080" w:hanging="1080"/>
      </w:pPr>
      <w:rPr>
        <w:rFonts w:eastAsia="Times New Roman" w:hint="default"/>
        <w:color w:val="0B0C0C"/>
      </w:rPr>
    </w:lvl>
    <w:lvl w:ilvl="4">
      <w:start w:val="1"/>
      <w:numFmt w:val="decimal"/>
      <w:lvlText w:val="%1.%2.%3.%4.%5"/>
      <w:lvlJc w:val="left"/>
      <w:pPr>
        <w:ind w:left="1080" w:hanging="1080"/>
      </w:pPr>
      <w:rPr>
        <w:rFonts w:eastAsia="Times New Roman" w:hint="default"/>
        <w:color w:val="0B0C0C"/>
      </w:rPr>
    </w:lvl>
    <w:lvl w:ilvl="5">
      <w:start w:val="1"/>
      <w:numFmt w:val="decimal"/>
      <w:lvlText w:val="%1.%2.%3.%4.%5.%6"/>
      <w:lvlJc w:val="left"/>
      <w:pPr>
        <w:ind w:left="1440" w:hanging="1440"/>
      </w:pPr>
      <w:rPr>
        <w:rFonts w:eastAsia="Times New Roman" w:hint="default"/>
        <w:color w:val="0B0C0C"/>
      </w:rPr>
    </w:lvl>
    <w:lvl w:ilvl="6">
      <w:start w:val="1"/>
      <w:numFmt w:val="decimal"/>
      <w:lvlText w:val="%1.%2.%3.%4.%5.%6.%7"/>
      <w:lvlJc w:val="left"/>
      <w:pPr>
        <w:ind w:left="1440" w:hanging="1440"/>
      </w:pPr>
      <w:rPr>
        <w:rFonts w:eastAsia="Times New Roman" w:hint="default"/>
        <w:color w:val="0B0C0C"/>
      </w:rPr>
    </w:lvl>
    <w:lvl w:ilvl="7">
      <w:start w:val="1"/>
      <w:numFmt w:val="decimal"/>
      <w:lvlText w:val="%1.%2.%3.%4.%5.%6.%7.%8"/>
      <w:lvlJc w:val="left"/>
      <w:pPr>
        <w:ind w:left="1800" w:hanging="1800"/>
      </w:pPr>
      <w:rPr>
        <w:rFonts w:eastAsia="Times New Roman" w:hint="default"/>
        <w:color w:val="0B0C0C"/>
      </w:rPr>
    </w:lvl>
    <w:lvl w:ilvl="8">
      <w:start w:val="1"/>
      <w:numFmt w:val="decimal"/>
      <w:lvlText w:val="%1.%2.%3.%4.%5.%6.%7.%8.%9"/>
      <w:lvlJc w:val="left"/>
      <w:pPr>
        <w:ind w:left="1800" w:hanging="1800"/>
      </w:pPr>
      <w:rPr>
        <w:rFonts w:eastAsia="Times New Roman" w:hint="default"/>
        <w:color w:val="0B0C0C"/>
      </w:rPr>
    </w:lvl>
  </w:abstractNum>
  <w:abstractNum w:abstractNumId="21" w15:restartNumberingAfterBreak="0">
    <w:nsid w:val="585E4935"/>
    <w:multiLevelType w:val="multilevel"/>
    <w:tmpl w:val="67F0D1A4"/>
    <w:lvl w:ilvl="0">
      <w:start w:val="5"/>
      <w:numFmt w:val="decimal"/>
      <w:lvlText w:val="%1"/>
      <w:lvlJc w:val="left"/>
      <w:pPr>
        <w:ind w:left="360" w:hanging="360"/>
      </w:pPr>
      <w:rPr>
        <w:rFonts w:eastAsia="Times New Roman" w:hint="default"/>
        <w:color w:val="0B0C0C"/>
      </w:rPr>
    </w:lvl>
    <w:lvl w:ilvl="1">
      <w:start w:val="9"/>
      <w:numFmt w:val="decimal"/>
      <w:lvlText w:val="%1.%2"/>
      <w:lvlJc w:val="left"/>
      <w:pPr>
        <w:ind w:left="360" w:hanging="360"/>
      </w:pPr>
      <w:rPr>
        <w:rFonts w:eastAsia="Times New Roman" w:hint="default"/>
        <w:color w:val="0B0C0C"/>
      </w:rPr>
    </w:lvl>
    <w:lvl w:ilvl="2">
      <w:start w:val="1"/>
      <w:numFmt w:val="decimal"/>
      <w:lvlText w:val="%1.%2.%3"/>
      <w:lvlJc w:val="left"/>
      <w:pPr>
        <w:ind w:left="720" w:hanging="720"/>
      </w:pPr>
      <w:rPr>
        <w:rFonts w:eastAsia="Times New Roman" w:hint="default"/>
        <w:color w:val="0B0C0C"/>
      </w:rPr>
    </w:lvl>
    <w:lvl w:ilvl="3">
      <w:start w:val="1"/>
      <w:numFmt w:val="decimal"/>
      <w:lvlText w:val="%1.%2.%3.%4"/>
      <w:lvlJc w:val="left"/>
      <w:pPr>
        <w:ind w:left="1080" w:hanging="1080"/>
      </w:pPr>
      <w:rPr>
        <w:rFonts w:eastAsia="Times New Roman" w:hint="default"/>
        <w:color w:val="0B0C0C"/>
      </w:rPr>
    </w:lvl>
    <w:lvl w:ilvl="4">
      <w:start w:val="1"/>
      <w:numFmt w:val="decimal"/>
      <w:lvlText w:val="%1.%2.%3.%4.%5"/>
      <w:lvlJc w:val="left"/>
      <w:pPr>
        <w:ind w:left="1080" w:hanging="1080"/>
      </w:pPr>
      <w:rPr>
        <w:rFonts w:eastAsia="Times New Roman" w:hint="default"/>
        <w:color w:val="0B0C0C"/>
      </w:rPr>
    </w:lvl>
    <w:lvl w:ilvl="5">
      <w:start w:val="1"/>
      <w:numFmt w:val="decimal"/>
      <w:lvlText w:val="%1.%2.%3.%4.%5.%6"/>
      <w:lvlJc w:val="left"/>
      <w:pPr>
        <w:ind w:left="1440" w:hanging="1440"/>
      </w:pPr>
      <w:rPr>
        <w:rFonts w:eastAsia="Times New Roman" w:hint="default"/>
        <w:color w:val="0B0C0C"/>
      </w:rPr>
    </w:lvl>
    <w:lvl w:ilvl="6">
      <w:start w:val="1"/>
      <w:numFmt w:val="decimal"/>
      <w:lvlText w:val="%1.%2.%3.%4.%5.%6.%7"/>
      <w:lvlJc w:val="left"/>
      <w:pPr>
        <w:ind w:left="1440" w:hanging="1440"/>
      </w:pPr>
      <w:rPr>
        <w:rFonts w:eastAsia="Times New Roman" w:hint="default"/>
        <w:color w:val="0B0C0C"/>
      </w:rPr>
    </w:lvl>
    <w:lvl w:ilvl="7">
      <w:start w:val="1"/>
      <w:numFmt w:val="decimal"/>
      <w:lvlText w:val="%1.%2.%3.%4.%5.%6.%7.%8"/>
      <w:lvlJc w:val="left"/>
      <w:pPr>
        <w:ind w:left="1800" w:hanging="1800"/>
      </w:pPr>
      <w:rPr>
        <w:rFonts w:eastAsia="Times New Roman" w:hint="default"/>
        <w:color w:val="0B0C0C"/>
      </w:rPr>
    </w:lvl>
    <w:lvl w:ilvl="8">
      <w:start w:val="1"/>
      <w:numFmt w:val="decimal"/>
      <w:lvlText w:val="%1.%2.%3.%4.%5.%6.%7.%8.%9"/>
      <w:lvlJc w:val="left"/>
      <w:pPr>
        <w:ind w:left="1800" w:hanging="1800"/>
      </w:pPr>
      <w:rPr>
        <w:rFonts w:eastAsia="Times New Roman" w:hint="default"/>
        <w:color w:val="0B0C0C"/>
      </w:rPr>
    </w:lvl>
  </w:abstractNum>
  <w:abstractNum w:abstractNumId="22" w15:restartNumberingAfterBreak="0">
    <w:nsid w:val="5ACE6144"/>
    <w:multiLevelType w:val="multilevel"/>
    <w:tmpl w:val="7410067A"/>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D56457"/>
    <w:multiLevelType w:val="hybridMultilevel"/>
    <w:tmpl w:val="75D02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7E05C2"/>
    <w:multiLevelType w:val="hybridMultilevel"/>
    <w:tmpl w:val="4CEEBD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5B4E8E"/>
    <w:multiLevelType w:val="hybridMultilevel"/>
    <w:tmpl w:val="B9D0E024"/>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6" w15:restartNumberingAfterBreak="0">
    <w:nsid w:val="6FE8754A"/>
    <w:multiLevelType w:val="multilevel"/>
    <w:tmpl w:val="E9420B90"/>
    <w:lvl w:ilvl="0">
      <w:start w:val="5"/>
      <w:numFmt w:val="decimal"/>
      <w:lvlText w:val="%1"/>
      <w:lvlJc w:val="left"/>
      <w:pPr>
        <w:ind w:left="460" w:hanging="460"/>
      </w:pPr>
      <w:rPr>
        <w:rFonts w:hint="default"/>
      </w:rPr>
    </w:lvl>
    <w:lvl w:ilvl="1">
      <w:start w:val="1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8854FD8"/>
    <w:multiLevelType w:val="hybridMultilevel"/>
    <w:tmpl w:val="A2423CD6"/>
    <w:lvl w:ilvl="0" w:tplc="5C92A264">
      <w:start w:val="1"/>
      <w:numFmt w:val="decimal"/>
      <w:lvlText w:val="%1."/>
      <w:lvlJc w:val="left"/>
      <w:pPr>
        <w:ind w:left="1440" w:hanging="360"/>
      </w:pPr>
    </w:lvl>
    <w:lvl w:ilvl="1" w:tplc="757C7D80">
      <w:start w:val="1"/>
      <w:numFmt w:val="decimal"/>
      <w:lvlText w:val="%2."/>
      <w:lvlJc w:val="left"/>
      <w:pPr>
        <w:ind w:left="1440" w:hanging="360"/>
      </w:pPr>
    </w:lvl>
    <w:lvl w:ilvl="2" w:tplc="F74CD628">
      <w:start w:val="1"/>
      <w:numFmt w:val="decimal"/>
      <w:lvlText w:val="%3."/>
      <w:lvlJc w:val="left"/>
      <w:pPr>
        <w:ind w:left="1440" w:hanging="360"/>
      </w:pPr>
    </w:lvl>
    <w:lvl w:ilvl="3" w:tplc="576C5CB6">
      <w:start w:val="1"/>
      <w:numFmt w:val="decimal"/>
      <w:lvlText w:val="%4."/>
      <w:lvlJc w:val="left"/>
      <w:pPr>
        <w:ind w:left="1440" w:hanging="360"/>
      </w:pPr>
    </w:lvl>
    <w:lvl w:ilvl="4" w:tplc="0C3EE6E4">
      <w:start w:val="1"/>
      <w:numFmt w:val="decimal"/>
      <w:lvlText w:val="%5."/>
      <w:lvlJc w:val="left"/>
      <w:pPr>
        <w:ind w:left="1440" w:hanging="360"/>
      </w:pPr>
    </w:lvl>
    <w:lvl w:ilvl="5" w:tplc="373C4442">
      <w:start w:val="1"/>
      <w:numFmt w:val="decimal"/>
      <w:lvlText w:val="%6."/>
      <w:lvlJc w:val="left"/>
      <w:pPr>
        <w:ind w:left="1440" w:hanging="360"/>
      </w:pPr>
    </w:lvl>
    <w:lvl w:ilvl="6" w:tplc="14B6CBEE">
      <w:start w:val="1"/>
      <w:numFmt w:val="decimal"/>
      <w:lvlText w:val="%7."/>
      <w:lvlJc w:val="left"/>
      <w:pPr>
        <w:ind w:left="1440" w:hanging="360"/>
      </w:pPr>
    </w:lvl>
    <w:lvl w:ilvl="7" w:tplc="FF809C3E">
      <w:start w:val="1"/>
      <w:numFmt w:val="decimal"/>
      <w:lvlText w:val="%8."/>
      <w:lvlJc w:val="left"/>
      <w:pPr>
        <w:ind w:left="1440" w:hanging="360"/>
      </w:pPr>
    </w:lvl>
    <w:lvl w:ilvl="8" w:tplc="99AE2148">
      <w:start w:val="1"/>
      <w:numFmt w:val="decimal"/>
      <w:lvlText w:val="%9."/>
      <w:lvlJc w:val="left"/>
      <w:pPr>
        <w:ind w:left="1440" w:hanging="360"/>
      </w:pPr>
    </w:lvl>
  </w:abstractNum>
  <w:abstractNum w:abstractNumId="28" w15:restartNumberingAfterBreak="0">
    <w:nsid w:val="78D41D88"/>
    <w:multiLevelType w:val="hybridMultilevel"/>
    <w:tmpl w:val="1DFEF89C"/>
    <w:lvl w:ilvl="0" w:tplc="12DCEC6C">
      <w:start w:val="1"/>
      <w:numFmt w:val="bullet"/>
      <w:lvlText w:val=""/>
      <w:lvlJc w:val="left"/>
      <w:pPr>
        <w:ind w:left="720" w:hanging="360"/>
      </w:pPr>
      <w:rPr>
        <w:rFonts w:ascii="Symbol" w:hAnsi="Symbol"/>
      </w:rPr>
    </w:lvl>
    <w:lvl w:ilvl="1" w:tplc="6ADCD32E">
      <w:start w:val="1"/>
      <w:numFmt w:val="bullet"/>
      <w:lvlText w:val=""/>
      <w:lvlJc w:val="left"/>
      <w:pPr>
        <w:ind w:left="720" w:hanging="360"/>
      </w:pPr>
      <w:rPr>
        <w:rFonts w:ascii="Symbol" w:hAnsi="Symbol"/>
      </w:rPr>
    </w:lvl>
    <w:lvl w:ilvl="2" w:tplc="03681564">
      <w:start w:val="1"/>
      <w:numFmt w:val="bullet"/>
      <w:lvlText w:val=""/>
      <w:lvlJc w:val="left"/>
      <w:pPr>
        <w:ind w:left="720" w:hanging="360"/>
      </w:pPr>
      <w:rPr>
        <w:rFonts w:ascii="Symbol" w:hAnsi="Symbol"/>
      </w:rPr>
    </w:lvl>
    <w:lvl w:ilvl="3" w:tplc="DE8C27BE">
      <w:start w:val="1"/>
      <w:numFmt w:val="bullet"/>
      <w:lvlText w:val=""/>
      <w:lvlJc w:val="left"/>
      <w:pPr>
        <w:ind w:left="720" w:hanging="360"/>
      </w:pPr>
      <w:rPr>
        <w:rFonts w:ascii="Symbol" w:hAnsi="Symbol"/>
      </w:rPr>
    </w:lvl>
    <w:lvl w:ilvl="4" w:tplc="0D7498CA">
      <w:start w:val="1"/>
      <w:numFmt w:val="bullet"/>
      <w:lvlText w:val=""/>
      <w:lvlJc w:val="left"/>
      <w:pPr>
        <w:ind w:left="720" w:hanging="360"/>
      </w:pPr>
      <w:rPr>
        <w:rFonts w:ascii="Symbol" w:hAnsi="Symbol"/>
      </w:rPr>
    </w:lvl>
    <w:lvl w:ilvl="5" w:tplc="10A024DC">
      <w:start w:val="1"/>
      <w:numFmt w:val="bullet"/>
      <w:lvlText w:val=""/>
      <w:lvlJc w:val="left"/>
      <w:pPr>
        <w:ind w:left="720" w:hanging="360"/>
      </w:pPr>
      <w:rPr>
        <w:rFonts w:ascii="Symbol" w:hAnsi="Symbol"/>
      </w:rPr>
    </w:lvl>
    <w:lvl w:ilvl="6" w:tplc="531A621E">
      <w:start w:val="1"/>
      <w:numFmt w:val="bullet"/>
      <w:lvlText w:val=""/>
      <w:lvlJc w:val="left"/>
      <w:pPr>
        <w:ind w:left="720" w:hanging="360"/>
      </w:pPr>
      <w:rPr>
        <w:rFonts w:ascii="Symbol" w:hAnsi="Symbol"/>
      </w:rPr>
    </w:lvl>
    <w:lvl w:ilvl="7" w:tplc="B89E3762">
      <w:start w:val="1"/>
      <w:numFmt w:val="bullet"/>
      <w:lvlText w:val=""/>
      <w:lvlJc w:val="left"/>
      <w:pPr>
        <w:ind w:left="720" w:hanging="360"/>
      </w:pPr>
      <w:rPr>
        <w:rFonts w:ascii="Symbol" w:hAnsi="Symbol"/>
      </w:rPr>
    </w:lvl>
    <w:lvl w:ilvl="8" w:tplc="FB301F6C">
      <w:start w:val="1"/>
      <w:numFmt w:val="bullet"/>
      <w:lvlText w:val=""/>
      <w:lvlJc w:val="left"/>
      <w:pPr>
        <w:ind w:left="720" w:hanging="360"/>
      </w:pPr>
      <w:rPr>
        <w:rFonts w:ascii="Symbol" w:hAnsi="Symbol"/>
      </w:rPr>
    </w:lvl>
  </w:abstractNum>
  <w:abstractNum w:abstractNumId="29" w15:restartNumberingAfterBreak="0">
    <w:nsid w:val="7A7D676D"/>
    <w:multiLevelType w:val="hybridMultilevel"/>
    <w:tmpl w:val="2D58D35A"/>
    <w:lvl w:ilvl="0" w:tplc="9C54F014">
      <w:start w:val="1"/>
      <w:numFmt w:val="bullet"/>
      <w:lvlText w:val=""/>
      <w:lvlJc w:val="left"/>
      <w:pPr>
        <w:ind w:left="1480" w:hanging="360"/>
      </w:pPr>
      <w:rPr>
        <w:rFonts w:ascii="Symbol" w:hAnsi="Symbol"/>
      </w:rPr>
    </w:lvl>
    <w:lvl w:ilvl="1" w:tplc="E00E24D4">
      <w:start w:val="1"/>
      <w:numFmt w:val="bullet"/>
      <w:lvlText w:val=""/>
      <w:lvlJc w:val="left"/>
      <w:pPr>
        <w:ind w:left="1480" w:hanging="360"/>
      </w:pPr>
      <w:rPr>
        <w:rFonts w:ascii="Symbol" w:hAnsi="Symbol"/>
      </w:rPr>
    </w:lvl>
    <w:lvl w:ilvl="2" w:tplc="56F2DB4A">
      <w:start w:val="1"/>
      <w:numFmt w:val="bullet"/>
      <w:lvlText w:val=""/>
      <w:lvlJc w:val="left"/>
      <w:pPr>
        <w:ind w:left="1480" w:hanging="360"/>
      </w:pPr>
      <w:rPr>
        <w:rFonts w:ascii="Symbol" w:hAnsi="Symbol"/>
      </w:rPr>
    </w:lvl>
    <w:lvl w:ilvl="3" w:tplc="2A1CD92E">
      <w:start w:val="1"/>
      <w:numFmt w:val="bullet"/>
      <w:lvlText w:val=""/>
      <w:lvlJc w:val="left"/>
      <w:pPr>
        <w:ind w:left="1480" w:hanging="360"/>
      </w:pPr>
      <w:rPr>
        <w:rFonts w:ascii="Symbol" w:hAnsi="Symbol"/>
      </w:rPr>
    </w:lvl>
    <w:lvl w:ilvl="4" w:tplc="57BE7BE8">
      <w:start w:val="1"/>
      <w:numFmt w:val="bullet"/>
      <w:lvlText w:val=""/>
      <w:lvlJc w:val="left"/>
      <w:pPr>
        <w:ind w:left="1480" w:hanging="360"/>
      </w:pPr>
      <w:rPr>
        <w:rFonts w:ascii="Symbol" w:hAnsi="Symbol"/>
      </w:rPr>
    </w:lvl>
    <w:lvl w:ilvl="5" w:tplc="18CA8526">
      <w:start w:val="1"/>
      <w:numFmt w:val="bullet"/>
      <w:lvlText w:val=""/>
      <w:lvlJc w:val="left"/>
      <w:pPr>
        <w:ind w:left="1480" w:hanging="360"/>
      </w:pPr>
      <w:rPr>
        <w:rFonts w:ascii="Symbol" w:hAnsi="Symbol"/>
      </w:rPr>
    </w:lvl>
    <w:lvl w:ilvl="6" w:tplc="6F2ED286">
      <w:start w:val="1"/>
      <w:numFmt w:val="bullet"/>
      <w:lvlText w:val=""/>
      <w:lvlJc w:val="left"/>
      <w:pPr>
        <w:ind w:left="1480" w:hanging="360"/>
      </w:pPr>
      <w:rPr>
        <w:rFonts w:ascii="Symbol" w:hAnsi="Symbol"/>
      </w:rPr>
    </w:lvl>
    <w:lvl w:ilvl="7" w:tplc="F35A544E">
      <w:start w:val="1"/>
      <w:numFmt w:val="bullet"/>
      <w:lvlText w:val=""/>
      <w:lvlJc w:val="left"/>
      <w:pPr>
        <w:ind w:left="1480" w:hanging="360"/>
      </w:pPr>
      <w:rPr>
        <w:rFonts w:ascii="Symbol" w:hAnsi="Symbol"/>
      </w:rPr>
    </w:lvl>
    <w:lvl w:ilvl="8" w:tplc="92FA1A4C">
      <w:start w:val="1"/>
      <w:numFmt w:val="bullet"/>
      <w:lvlText w:val=""/>
      <w:lvlJc w:val="left"/>
      <w:pPr>
        <w:ind w:left="1480" w:hanging="360"/>
      </w:pPr>
      <w:rPr>
        <w:rFonts w:ascii="Symbol" w:hAnsi="Symbol"/>
      </w:rPr>
    </w:lvl>
  </w:abstractNum>
  <w:num w:numId="1" w16cid:durableId="1561862758">
    <w:abstractNumId w:val="24"/>
  </w:num>
  <w:num w:numId="2" w16cid:durableId="195853932">
    <w:abstractNumId w:val="9"/>
  </w:num>
  <w:num w:numId="3" w16cid:durableId="649528926">
    <w:abstractNumId w:val="23"/>
  </w:num>
  <w:num w:numId="4" w16cid:durableId="1617904724">
    <w:abstractNumId w:val="0"/>
  </w:num>
  <w:num w:numId="5" w16cid:durableId="891117058">
    <w:abstractNumId w:val="10"/>
  </w:num>
  <w:num w:numId="6" w16cid:durableId="962199960">
    <w:abstractNumId w:val="4"/>
  </w:num>
  <w:num w:numId="7" w16cid:durableId="765883065">
    <w:abstractNumId w:val="2"/>
  </w:num>
  <w:num w:numId="8" w16cid:durableId="1538158439">
    <w:abstractNumId w:val="12"/>
  </w:num>
  <w:num w:numId="9" w16cid:durableId="288702769">
    <w:abstractNumId w:val="11"/>
  </w:num>
  <w:num w:numId="10" w16cid:durableId="1324315580">
    <w:abstractNumId w:val="17"/>
  </w:num>
  <w:num w:numId="11" w16cid:durableId="1772780007">
    <w:abstractNumId w:val="1"/>
  </w:num>
  <w:num w:numId="12" w16cid:durableId="1164778011">
    <w:abstractNumId w:val="7"/>
  </w:num>
  <w:num w:numId="13" w16cid:durableId="1664432472">
    <w:abstractNumId w:val="16"/>
  </w:num>
  <w:num w:numId="14" w16cid:durableId="1124929826">
    <w:abstractNumId w:val="14"/>
  </w:num>
  <w:num w:numId="15" w16cid:durableId="701633420">
    <w:abstractNumId w:val="29"/>
  </w:num>
  <w:num w:numId="16" w16cid:durableId="1675571592">
    <w:abstractNumId w:val="28"/>
  </w:num>
  <w:num w:numId="17" w16cid:durableId="639072874">
    <w:abstractNumId w:val="19"/>
  </w:num>
  <w:num w:numId="18" w16cid:durableId="7828522">
    <w:abstractNumId w:val="15"/>
  </w:num>
  <w:num w:numId="19" w16cid:durableId="267275274">
    <w:abstractNumId w:val="18"/>
  </w:num>
  <w:num w:numId="20" w16cid:durableId="1990090634">
    <w:abstractNumId w:val="25"/>
  </w:num>
  <w:num w:numId="21" w16cid:durableId="1047342114">
    <w:abstractNumId w:val="6"/>
  </w:num>
  <w:num w:numId="22" w16cid:durableId="580481408">
    <w:abstractNumId w:val="27"/>
  </w:num>
  <w:num w:numId="23" w16cid:durableId="2112626837">
    <w:abstractNumId w:val="3"/>
  </w:num>
  <w:num w:numId="24" w16cid:durableId="1748501827">
    <w:abstractNumId w:val="22"/>
  </w:num>
  <w:num w:numId="25" w16cid:durableId="317151262">
    <w:abstractNumId w:val="13"/>
  </w:num>
  <w:num w:numId="26" w16cid:durableId="544105205">
    <w:abstractNumId w:val="5"/>
  </w:num>
  <w:num w:numId="27" w16cid:durableId="833178647">
    <w:abstractNumId w:val="20"/>
  </w:num>
  <w:num w:numId="28" w16cid:durableId="6104157">
    <w:abstractNumId w:val="21"/>
  </w:num>
  <w:num w:numId="29" w16cid:durableId="2077849657">
    <w:abstractNumId w:val="26"/>
  </w:num>
  <w:num w:numId="30" w16cid:durableId="9360625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DB7"/>
    <w:rsid w:val="000112FD"/>
    <w:rsid w:val="00031E2D"/>
    <w:rsid w:val="000357D1"/>
    <w:rsid w:val="00042B03"/>
    <w:rsid w:val="00056A3B"/>
    <w:rsid w:val="000634B4"/>
    <w:rsid w:val="00067A40"/>
    <w:rsid w:val="000843A4"/>
    <w:rsid w:val="00090AA4"/>
    <w:rsid w:val="000A4085"/>
    <w:rsid w:val="000A4227"/>
    <w:rsid w:val="000A66AE"/>
    <w:rsid w:val="000B200F"/>
    <w:rsid w:val="000D30AF"/>
    <w:rsid w:val="000D4B5F"/>
    <w:rsid w:val="000D55B5"/>
    <w:rsid w:val="000E24D6"/>
    <w:rsid w:val="000F22A3"/>
    <w:rsid w:val="00106C7F"/>
    <w:rsid w:val="001179C8"/>
    <w:rsid w:val="00131F0A"/>
    <w:rsid w:val="00132BEA"/>
    <w:rsid w:val="001332F2"/>
    <w:rsid w:val="00170666"/>
    <w:rsid w:val="001709B5"/>
    <w:rsid w:val="001869E2"/>
    <w:rsid w:val="001A1206"/>
    <w:rsid w:val="001B0CFB"/>
    <w:rsid w:val="001B1065"/>
    <w:rsid w:val="001B2D60"/>
    <w:rsid w:val="001B4710"/>
    <w:rsid w:val="001C40DE"/>
    <w:rsid w:val="001D3626"/>
    <w:rsid w:val="001D6727"/>
    <w:rsid w:val="0020427F"/>
    <w:rsid w:val="00214694"/>
    <w:rsid w:val="00233629"/>
    <w:rsid w:val="00237BEB"/>
    <w:rsid w:val="002455E2"/>
    <w:rsid w:val="002470AF"/>
    <w:rsid w:val="00264685"/>
    <w:rsid w:val="002A2BA1"/>
    <w:rsid w:val="002A2F7D"/>
    <w:rsid w:val="002C37EB"/>
    <w:rsid w:val="002D4457"/>
    <w:rsid w:val="002E08BB"/>
    <w:rsid w:val="002E6211"/>
    <w:rsid w:val="002F1F39"/>
    <w:rsid w:val="00302DE9"/>
    <w:rsid w:val="00303776"/>
    <w:rsid w:val="0030496E"/>
    <w:rsid w:val="00304CE9"/>
    <w:rsid w:val="0032638F"/>
    <w:rsid w:val="003267BB"/>
    <w:rsid w:val="0034540D"/>
    <w:rsid w:val="00350A24"/>
    <w:rsid w:val="00354795"/>
    <w:rsid w:val="0035483D"/>
    <w:rsid w:val="00357773"/>
    <w:rsid w:val="00361426"/>
    <w:rsid w:val="00367B50"/>
    <w:rsid w:val="00381C0C"/>
    <w:rsid w:val="003A6A34"/>
    <w:rsid w:val="003C0E04"/>
    <w:rsid w:val="003C4880"/>
    <w:rsid w:val="003C5F7B"/>
    <w:rsid w:val="003C68E6"/>
    <w:rsid w:val="003D2668"/>
    <w:rsid w:val="003E0350"/>
    <w:rsid w:val="003E4D9C"/>
    <w:rsid w:val="003E6AD3"/>
    <w:rsid w:val="003E7E4C"/>
    <w:rsid w:val="003F3B57"/>
    <w:rsid w:val="003F5F1F"/>
    <w:rsid w:val="0043368F"/>
    <w:rsid w:val="00434812"/>
    <w:rsid w:val="00434FF6"/>
    <w:rsid w:val="0045199A"/>
    <w:rsid w:val="00452992"/>
    <w:rsid w:val="004968E5"/>
    <w:rsid w:val="004A3BAF"/>
    <w:rsid w:val="004D0499"/>
    <w:rsid w:val="004E0F8C"/>
    <w:rsid w:val="00527713"/>
    <w:rsid w:val="00531D31"/>
    <w:rsid w:val="00541852"/>
    <w:rsid w:val="00552A21"/>
    <w:rsid w:val="005606C9"/>
    <w:rsid w:val="005820A8"/>
    <w:rsid w:val="00586476"/>
    <w:rsid w:val="005A7F41"/>
    <w:rsid w:val="005B4659"/>
    <w:rsid w:val="005E5A4D"/>
    <w:rsid w:val="005F139E"/>
    <w:rsid w:val="006044A6"/>
    <w:rsid w:val="00605C75"/>
    <w:rsid w:val="006156DF"/>
    <w:rsid w:val="00623D71"/>
    <w:rsid w:val="00627A4D"/>
    <w:rsid w:val="00630869"/>
    <w:rsid w:val="00635371"/>
    <w:rsid w:val="00640A1A"/>
    <w:rsid w:val="0064215C"/>
    <w:rsid w:val="00654953"/>
    <w:rsid w:val="006549B0"/>
    <w:rsid w:val="006555FB"/>
    <w:rsid w:val="00663ED2"/>
    <w:rsid w:val="00664FF0"/>
    <w:rsid w:val="00672C3C"/>
    <w:rsid w:val="006847FC"/>
    <w:rsid w:val="006859A6"/>
    <w:rsid w:val="006A6960"/>
    <w:rsid w:val="006A7DBC"/>
    <w:rsid w:val="006B4F7B"/>
    <w:rsid w:val="006B6DD7"/>
    <w:rsid w:val="006B6F4D"/>
    <w:rsid w:val="006D6E33"/>
    <w:rsid w:val="006D79EC"/>
    <w:rsid w:val="006E2811"/>
    <w:rsid w:val="006E3CC9"/>
    <w:rsid w:val="006E65F0"/>
    <w:rsid w:val="0070206C"/>
    <w:rsid w:val="00715557"/>
    <w:rsid w:val="00731192"/>
    <w:rsid w:val="00734202"/>
    <w:rsid w:val="00742684"/>
    <w:rsid w:val="0074414F"/>
    <w:rsid w:val="00745A83"/>
    <w:rsid w:val="0078666D"/>
    <w:rsid w:val="00786D5D"/>
    <w:rsid w:val="007A56E5"/>
    <w:rsid w:val="007A5A96"/>
    <w:rsid w:val="007B7279"/>
    <w:rsid w:val="007D2386"/>
    <w:rsid w:val="007E7EF2"/>
    <w:rsid w:val="007F2DB7"/>
    <w:rsid w:val="007F2EEE"/>
    <w:rsid w:val="007F4B57"/>
    <w:rsid w:val="00802E1C"/>
    <w:rsid w:val="0080420B"/>
    <w:rsid w:val="00804468"/>
    <w:rsid w:val="00807767"/>
    <w:rsid w:val="008200FE"/>
    <w:rsid w:val="00832A68"/>
    <w:rsid w:val="0084336A"/>
    <w:rsid w:val="00845195"/>
    <w:rsid w:val="00854B1A"/>
    <w:rsid w:val="00856DD5"/>
    <w:rsid w:val="0086767F"/>
    <w:rsid w:val="00890839"/>
    <w:rsid w:val="00892259"/>
    <w:rsid w:val="00897A1D"/>
    <w:rsid w:val="008B77E7"/>
    <w:rsid w:val="008C6BDE"/>
    <w:rsid w:val="008C6F9F"/>
    <w:rsid w:val="008E14D1"/>
    <w:rsid w:val="008E360E"/>
    <w:rsid w:val="008E5D4F"/>
    <w:rsid w:val="009021C6"/>
    <w:rsid w:val="0090754D"/>
    <w:rsid w:val="00915835"/>
    <w:rsid w:val="00917B16"/>
    <w:rsid w:val="00930CFC"/>
    <w:rsid w:val="00932BAB"/>
    <w:rsid w:val="00951310"/>
    <w:rsid w:val="00965068"/>
    <w:rsid w:val="00985302"/>
    <w:rsid w:val="009B2B4A"/>
    <w:rsid w:val="009D04E5"/>
    <w:rsid w:val="009E01A8"/>
    <w:rsid w:val="009E6E42"/>
    <w:rsid w:val="00A074AD"/>
    <w:rsid w:val="00A12224"/>
    <w:rsid w:val="00A14AA6"/>
    <w:rsid w:val="00A16076"/>
    <w:rsid w:val="00A3069C"/>
    <w:rsid w:val="00A45BC5"/>
    <w:rsid w:val="00A4775D"/>
    <w:rsid w:val="00A6292F"/>
    <w:rsid w:val="00A656BE"/>
    <w:rsid w:val="00A72B1F"/>
    <w:rsid w:val="00A80773"/>
    <w:rsid w:val="00A83A31"/>
    <w:rsid w:val="00A85AD7"/>
    <w:rsid w:val="00AA7660"/>
    <w:rsid w:val="00AB3420"/>
    <w:rsid w:val="00AD2CFB"/>
    <w:rsid w:val="00AF4723"/>
    <w:rsid w:val="00AF633F"/>
    <w:rsid w:val="00AF71AC"/>
    <w:rsid w:val="00B21A36"/>
    <w:rsid w:val="00B2254F"/>
    <w:rsid w:val="00B248F6"/>
    <w:rsid w:val="00B318B0"/>
    <w:rsid w:val="00B32F8E"/>
    <w:rsid w:val="00B41DA9"/>
    <w:rsid w:val="00B45C86"/>
    <w:rsid w:val="00B54F48"/>
    <w:rsid w:val="00B56806"/>
    <w:rsid w:val="00B5691F"/>
    <w:rsid w:val="00B60DA2"/>
    <w:rsid w:val="00B66533"/>
    <w:rsid w:val="00B71033"/>
    <w:rsid w:val="00B72E0E"/>
    <w:rsid w:val="00B730E4"/>
    <w:rsid w:val="00B77304"/>
    <w:rsid w:val="00B818E0"/>
    <w:rsid w:val="00B85C3A"/>
    <w:rsid w:val="00B93128"/>
    <w:rsid w:val="00BA76FF"/>
    <w:rsid w:val="00BC2AA4"/>
    <w:rsid w:val="00BC65D9"/>
    <w:rsid w:val="00BE07C0"/>
    <w:rsid w:val="00BE405D"/>
    <w:rsid w:val="00BF3A6F"/>
    <w:rsid w:val="00C071C3"/>
    <w:rsid w:val="00C2223E"/>
    <w:rsid w:val="00C338D8"/>
    <w:rsid w:val="00C35532"/>
    <w:rsid w:val="00C4282A"/>
    <w:rsid w:val="00C574DD"/>
    <w:rsid w:val="00C67198"/>
    <w:rsid w:val="00C7214B"/>
    <w:rsid w:val="00C87E52"/>
    <w:rsid w:val="00C96901"/>
    <w:rsid w:val="00CA038A"/>
    <w:rsid w:val="00CB0E39"/>
    <w:rsid w:val="00CD3646"/>
    <w:rsid w:val="00CE05C1"/>
    <w:rsid w:val="00D01405"/>
    <w:rsid w:val="00D04589"/>
    <w:rsid w:val="00D10CB4"/>
    <w:rsid w:val="00D10F24"/>
    <w:rsid w:val="00D12713"/>
    <w:rsid w:val="00D21B94"/>
    <w:rsid w:val="00D34BD0"/>
    <w:rsid w:val="00D60EEA"/>
    <w:rsid w:val="00D64949"/>
    <w:rsid w:val="00D67767"/>
    <w:rsid w:val="00D731F9"/>
    <w:rsid w:val="00D73FB3"/>
    <w:rsid w:val="00D8247F"/>
    <w:rsid w:val="00D9741E"/>
    <w:rsid w:val="00DA1796"/>
    <w:rsid w:val="00DA1AB6"/>
    <w:rsid w:val="00DA5DED"/>
    <w:rsid w:val="00DB1BDC"/>
    <w:rsid w:val="00DB6809"/>
    <w:rsid w:val="00DB6C42"/>
    <w:rsid w:val="00DB79DB"/>
    <w:rsid w:val="00DD758F"/>
    <w:rsid w:val="00E03AAC"/>
    <w:rsid w:val="00E10CD1"/>
    <w:rsid w:val="00E12D26"/>
    <w:rsid w:val="00E26E37"/>
    <w:rsid w:val="00E302D8"/>
    <w:rsid w:val="00E30929"/>
    <w:rsid w:val="00E30FCF"/>
    <w:rsid w:val="00E42A69"/>
    <w:rsid w:val="00E53318"/>
    <w:rsid w:val="00E604E2"/>
    <w:rsid w:val="00E92B9C"/>
    <w:rsid w:val="00E92C22"/>
    <w:rsid w:val="00EA47FC"/>
    <w:rsid w:val="00EB2299"/>
    <w:rsid w:val="00ED664A"/>
    <w:rsid w:val="00EE342B"/>
    <w:rsid w:val="00EE7F4A"/>
    <w:rsid w:val="00EF524C"/>
    <w:rsid w:val="00F01477"/>
    <w:rsid w:val="00F04671"/>
    <w:rsid w:val="00F2683B"/>
    <w:rsid w:val="00F26C80"/>
    <w:rsid w:val="00F27314"/>
    <w:rsid w:val="00F57DF8"/>
    <w:rsid w:val="00F616A4"/>
    <w:rsid w:val="00F97972"/>
    <w:rsid w:val="00FC41B4"/>
    <w:rsid w:val="00FE1D98"/>
    <w:rsid w:val="00FF4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526B2"/>
  <w15:chartTrackingRefBased/>
  <w15:docId w15:val="{11C85C59-F289-40D0-8A5D-9D7A26D87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CFB"/>
  </w:style>
  <w:style w:type="paragraph" w:styleId="Heading1">
    <w:name w:val="heading 1"/>
    <w:basedOn w:val="Normal"/>
    <w:next w:val="Normal"/>
    <w:link w:val="Heading1Char"/>
    <w:uiPriority w:val="9"/>
    <w:qFormat/>
    <w:rsid w:val="007F2DB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7F2DB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F2DB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F2DB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F2DB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F2D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2D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2D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2D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DB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7F2DB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F2DB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F2DB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7F2DB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7F2D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2D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2D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2DB7"/>
    <w:rPr>
      <w:rFonts w:eastAsiaTheme="majorEastAsia" w:cstheme="majorBidi"/>
      <w:color w:val="272727" w:themeColor="text1" w:themeTint="D8"/>
    </w:rPr>
  </w:style>
  <w:style w:type="paragraph" w:styleId="Title">
    <w:name w:val="Title"/>
    <w:basedOn w:val="Normal"/>
    <w:next w:val="Normal"/>
    <w:link w:val="TitleChar"/>
    <w:uiPriority w:val="10"/>
    <w:qFormat/>
    <w:rsid w:val="007F2D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D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2DB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2D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2D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F2DB7"/>
    <w:rPr>
      <w:i/>
      <w:iCs/>
      <w:color w:val="404040" w:themeColor="text1" w:themeTint="BF"/>
    </w:rPr>
  </w:style>
  <w:style w:type="paragraph" w:styleId="ListParagraph">
    <w:name w:val="List Paragraph"/>
    <w:basedOn w:val="Normal"/>
    <w:uiPriority w:val="34"/>
    <w:qFormat/>
    <w:rsid w:val="007F2DB7"/>
    <w:pPr>
      <w:ind w:left="720"/>
      <w:contextualSpacing/>
    </w:pPr>
  </w:style>
  <w:style w:type="character" w:styleId="IntenseEmphasis">
    <w:name w:val="Intense Emphasis"/>
    <w:basedOn w:val="DefaultParagraphFont"/>
    <w:uiPriority w:val="21"/>
    <w:qFormat/>
    <w:rsid w:val="007F2DB7"/>
    <w:rPr>
      <w:i/>
      <w:iCs/>
      <w:color w:val="365F91" w:themeColor="accent1" w:themeShade="BF"/>
    </w:rPr>
  </w:style>
  <w:style w:type="paragraph" w:styleId="IntenseQuote">
    <w:name w:val="Intense Quote"/>
    <w:basedOn w:val="Normal"/>
    <w:next w:val="Normal"/>
    <w:link w:val="IntenseQuoteChar"/>
    <w:uiPriority w:val="30"/>
    <w:qFormat/>
    <w:rsid w:val="007F2DB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F2DB7"/>
    <w:rPr>
      <w:i/>
      <w:iCs/>
      <w:color w:val="365F91" w:themeColor="accent1" w:themeShade="BF"/>
    </w:rPr>
  </w:style>
  <w:style w:type="character" w:styleId="IntenseReference">
    <w:name w:val="Intense Reference"/>
    <w:basedOn w:val="DefaultParagraphFont"/>
    <w:uiPriority w:val="32"/>
    <w:qFormat/>
    <w:rsid w:val="007F2DB7"/>
    <w:rPr>
      <w:b/>
      <w:bCs/>
      <w:smallCaps/>
      <w:color w:val="365F91" w:themeColor="accent1" w:themeShade="BF"/>
      <w:spacing w:val="5"/>
    </w:rPr>
  </w:style>
  <w:style w:type="character" w:styleId="CommentReference">
    <w:name w:val="annotation reference"/>
    <w:basedOn w:val="DefaultParagraphFont"/>
    <w:uiPriority w:val="99"/>
    <w:semiHidden/>
    <w:unhideWhenUsed/>
    <w:rsid w:val="00AF633F"/>
    <w:rPr>
      <w:sz w:val="16"/>
      <w:szCs w:val="16"/>
    </w:rPr>
  </w:style>
  <w:style w:type="paragraph" w:styleId="CommentText">
    <w:name w:val="annotation text"/>
    <w:basedOn w:val="Normal"/>
    <w:link w:val="CommentTextChar"/>
    <w:uiPriority w:val="99"/>
    <w:unhideWhenUsed/>
    <w:rsid w:val="00AF633F"/>
    <w:pPr>
      <w:spacing w:line="240" w:lineRule="auto"/>
    </w:pPr>
    <w:rPr>
      <w:sz w:val="20"/>
      <w:szCs w:val="20"/>
    </w:rPr>
  </w:style>
  <w:style w:type="character" w:customStyle="1" w:styleId="CommentTextChar">
    <w:name w:val="Comment Text Char"/>
    <w:basedOn w:val="DefaultParagraphFont"/>
    <w:link w:val="CommentText"/>
    <w:uiPriority w:val="99"/>
    <w:rsid w:val="00AF633F"/>
    <w:rPr>
      <w:sz w:val="20"/>
      <w:szCs w:val="20"/>
    </w:rPr>
  </w:style>
  <w:style w:type="paragraph" w:styleId="CommentSubject">
    <w:name w:val="annotation subject"/>
    <w:basedOn w:val="CommentText"/>
    <w:next w:val="CommentText"/>
    <w:link w:val="CommentSubjectChar"/>
    <w:uiPriority w:val="99"/>
    <w:semiHidden/>
    <w:unhideWhenUsed/>
    <w:rsid w:val="00AF633F"/>
    <w:rPr>
      <w:b/>
      <w:bCs/>
    </w:rPr>
  </w:style>
  <w:style w:type="character" w:customStyle="1" w:styleId="CommentSubjectChar">
    <w:name w:val="Comment Subject Char"/>
    <w:basedOn w:val="CommentTextChar"/>
    <w:link w:val="CommentSubject"/>
    <w:uiPriority w:val="99"/>
    <w:semiHidden/>
    <w:rsid w:val="00AF633F"/>
    <w:rPr>
      <w:b/>
      <w:bCs/>
      <w:sz w:val="20"/>
      <w:szCs w:val="20"/>
    </w:rPr>
  </w:style>
  <w:style w:type="table" w:styleId="TableGrid">
    <w:name w:val="Table Grid"/>
    <w:basedOn w:val="TableNormal"/>
    <w:uiPriority w:val="59"/>
    <w:rsid w:val="00856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0FCF"/>
    <w:pPr>
      <w:spacing w:after="0" w:line="240" w:lineRule="auto"/>
    </w:pPr>
  </w:style>
  <w:style w:type="paragraph" w:styleId="NormalWeb">
    <w:name w:val="Normal (Web)"/>
    <w:basedOn w:val="Normal"/>
    <w:uiPriority w:val="99"/>
    <w:semiHidden/>
    <w:unhideWhenUsed/>
    <w:rsid w:val="00E604E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1D3626"/>
    <w:rPr>
      <w:color w:val="0000FF" w:themeColor="hyperlink"/>
      <w:u w:val="single"/>
    </w:rPr>
  </w:style>
  <w:style w:type="character" w:styleId="UnresolvedMention">
    <w:name w:val="Unresolved Mention"/>
    <w:basedOn w:val="DefaultParagraphFont"/>
    <w:uiPriority w:val="99"/>
    <w:semiHidden/>
    <w:unhideWhenUsed/>
    <w:rsid w:val="001D3626"/>
    <w:rPr>
      <w:color w:val="605E5C"/>
      <w:shd w:val="clear" w:color="auto" w:fill="E1DFDD"/>
    </w:rPr>
  </w:style>
  <w:style w:type="character" w:customStyle="1" w:styleId="cf01">
    <w:name w:val="cf01"/>
    <w:basedOn w:val="DefaultParagraphFont"/>
    <w:rsid w:val="00DB6809"/>
    <w:rPr>
      <w:rFonts w:ascii="Segoe UI" w:hAnsi="Segoe UI" w:cs="Segoe UI" w:hint="default"/>
      <w:sz w:val="18"/>
      <w:szCs w:val="18"/>
    </w:rPr>
  </w:style>
  <w:style w:type="character" w:styleId="FollowedHyperlink">
    <w:name w:val="FollowedHyperlink"/>
    <w:basedOn w:val="DefaultParagraphFont"/>
    <w:uiPriority w:val="99"/>
    <w:semiHidden/>
    <w:unhideWhenUsed/>
    <w:rsid w:val="00A656BE"/>
    <w:rPr>
      <w:color w:val="800080" w:themeColor="followedHyperlink"/>
      <w:u w:val="single"/>
    </w:rPr>
  </w:style>
  <w:style w:type="paragraph" w:styleId="Header">
    <w:name w:val="header"/>
    <w:basedOn w:val="Normal"/>
    <w:link w:val="HeaderChar"/>
    <w:uiPriority w:val="99"/>
    <w:unhideWhenUsed/>
    <w:rsid w:val="00715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557"/>
  </w:style>
  <w:style w:type="paragraph" w:styleId="Footer">
    <w:name w:val="footer"/>
    <w:basedOn w:val="Normal"/>
    <w:link w:val="FooterChar"/>
    <w:uiPriority w:val="99"/>
    <w:unhideWhenUsed/>
    <w:rsid w:val="00715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557"/>
  </w:style>
  <w:style w:type="paragraph" w:styleId="NoSpacing">
    <w:name w:val="No Spacing"/>
    <w:uiPriority w:val="1"/>
    <w:qFormat/>
    <w:rsid w:val="009158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2418">
      <w:bodyDiv w:val="1"/>
      <w:marLeft w:val="0"/>
      <w:marRight w:val="0"/>
      <w:marTop w:val="0"/>
      <w:marBottom w:val="0"/>
      <w:divBdr>
        <w:top w:val="none" w:sz="0" w:space="0" w:color="auto"/>
        <w:left w:val="none" w:sz="0" w:space="0" w:color="auto"/>
        <w:bottom w:val="none" w:sz="0" w:space="0" w:color="auto"/>
        <w:right w:val="none" w:sz="0" w:space="0" w:color="auto"/>
      </w:divBdr>
      <w:divsChild>
        <w:div w:id="1996105879">
          <w:marLeft w:val="0"/>
          <w:marRight w:val="0"/>
          <w:marTop w:val="0"/>
          <w:marBottom w:val="0"/>
          <w:divBdr>
            <w:top w:val="none" w:sz="0" w:space="0" w:color="auto"/>
            <w:left w:val="none" w:sz="0" w:space="0" w:color="auto"/>
            <w:bottom w:val="none" w:sz="0" w:space="0" w:color="auto"/>
            <w:right w:val="none" w:sz="0" w:space="0" w:color="auto"/>
          </w:divBdr>
          <w:divsChild>
            <w:div w:id="1745103349">
              <w:marLeft w:val="0"/>
              <w:marRight w:val="0"/>
              <w:marTop w:val="0"/>
              <w:marBottom w:val="0"/>
              <w:divBdr>
                <w:top w:val="none" w:sz="0" w:space="0" w:color="auto"/>
                <w:left w:val="none" w:sz="0" w:space="0" w:color="auto"/>
                <w:bottom w:val="none" w:sz="0" w:space="0" w:color="auto"/>
                <w:right w:val="none" w:sz="0" w:space="0" w:color="auto"/>
              </w:divBdr>
              <w:divsChild>
                <w:div w:id="583416378">
                  <w:marLeft w:val="0"/>
                  <w:marRight w:val="0"/>
                  <w:marTop w:val="0"/>
                  <w:marBottom w:val="0"/>
                  <w:divBdr>
                    <w:top w:val="none" w:sz="0" w:space="0" w:color="auto"/>
                    <w:left w:val="none" w:sz="0" w:space="0" w:color="auto"/>
                    <w:bottom w:val="none" w:sz="0" w:space="0" w:color="auto"/>
                    <w:right w:val="none" w:sz="0" w:space="0" w:color="auto"/>
                  </w:divBdr>
                </w:div>
              </w:divsChild>
            </w:div>
            <w:div w:id="1148522475">
              <w:marLeft w:val="0"/>
              <w:marRight w:val="0"/>
              <w:marTop w:val="0"/>
              <w:marBottom w:val="0"/>
              <w:divBdr>
                <w:top w:val="none" w:sz="0" w:space="0" w:color="auto"/>
                <w:left w:val="none" w:sz="0" w:space="0" w:color="auto"/>
                <w:bottom w:val="none" w:sz="0" w:space="0" w:color="auto"/>
                <w:right w:val="none" w:sz="0" w:space="0" w:color="auto"/>
              </w:divBdr>
              <w:divsChild>
                <w:div w:id="841090260">
                  <w:marLeft w:val="0"/>
                  <w:marRight w:val="0"/>
                  <w:marTop w:val="0"/>
                  <w:marBottom w:val="0"/>
                  <w:divBdr>
                    <w:top w:val="none" w:sz="0" w:space="0" w:color="auto"/>
                    <w:left w:val="none" w:sz="0" w:space="0" w:color="auto"/>
                    <w:bottom w:val="none" w:sz="0" w:space="0" w:color="auto"/>
                    <w:right w:val="none" w:sz="0" w:space="0" w:color="auto"/>
                  </w:divBdr>
                </w:div>
              </w:divsChild>
            </w:div>
            <w:div w:id="1676879064">
              <w:marLeft w:val="0"/>
              <w:marRight w:val="0"/>
              <w:marTop w:val="0"/>
              <w:marBottom w:val="0"/>
              <w:divBdr>
                <w:top w:val="none" w:sz="0" w:space="0" w:color="auto"/>
                <w:left w:val="none" w:sz="0" w:space="0" w:color="auto"/>
                <w:bottom w:val="none" w:sz="0" w:space="0" w:color="auto"/>
                <w:right w:val="none" w:sz="0" w:space="0" w:color="auto"/>
              </w:divBdr>
              <w:divsChild>
                <w:div w:id="11031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8176">
          <w:marLeft w:val="0"/>
          <w:marRight w:val="0"/>
          <w:marTop w:val="0"/>
          <w:marBottom w:val="0"/>
          <w:divBdr>
            <w:top w:val="none" w:sz="0" w:space="0" w:color="auto"/>
            <w:left w:val="none" w:sz="0" w:space="0" w:color="auto"/>
            <w:bottom w:val="none" w:sz="0" w:space="0" w:color="auto"/>
            <w:right w:val="none" w:sz="0" w:space="0" w:color="auto"/>
          </w:divBdr>
          <w:divsChild>
            <w:div w:id="261497513">
              <w:marLeft w:val="0"/>
              <w:marRight w:val="0"/>
              <w:marTop w:val="0"/>
              <w:marBottom w:val="0"/>
              <w:divBdr>
                <w:top w:val="none" w:sz="0" w:space="0" w:color="auto"/>
                <w:left w:val="none" w:sz="0" w:space="0" w:color="auto"/>
                <w:bottom w:val="none" w:sz="0" w:space="0" w:color="auto"/>
                <w:right w:val="none" w:sz="0" w:space="0" w:color="auto"/>
              </w:divBdr>
              <w:divsChild>
                <w:div w:id="997657604">
                  <w:marLeft w:val="0"/>
                  <w:marRight w:val="0"/>
                  <w:marTop w:val="0"/>
                  <w:marBottom w:val="0"/>
                  <w:divBdr>
                    <w:top w:val="none" w:sz="0" w:space="0" w:color="auto"/>
                    <w:left w:val="none" w:sz="0" w:space="0" w:color="auto"/>
                    <w:bottom w:val="none" w:sz="0" w:space="0" w:color="auto"/>
                    <w:right w:val="none" w:sz="0" w:space="0" w:color="auto"/>
                  </w:divBdr>
                </w:div>
              </w:divsChild>
            </w:div>
            <w:div w:id="621769385">
              <w:marLeft w:val="0"/>
              <w:marRight w:val="0"/>
              <w:marTop w:val="0"/>
              <w:marBottom w:val="0"/>
              <w:divBdr>
                <w:top w:val="none" w:sz="0" w:space="0" w:color="auto"/>
                <w:left w:val="none" w:sz="0" w:space="0" w:color="auto"/>
                <w:bottom w:val="none" w:sz="0" w:space="0" w:color="auto"/>
                <w:right w:val="none" w:sz="0" w:space="0" w:color="auto"/>
              </w:divBdr>
              <w:divsChild>
                <w:div w:id="7628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412">
      <w:bodyDiv w:val="1"/>
      <w:marLeft w:val="0"/>
      <w:marRight w:val="0"/>
      <w:marTop w:val="0"/>
      <w:marBottom w:val="0"/>
      <w:divBdr>
        <w:top w:val="none" w:sz="0" w:space="0" w:color="auto"/>
        <w:left w:val="none" w:sz="0" w:space="0" w:color="auto"/>
        <w:bottom w:val="none" w:sz="0" w:space="0" w:color="auto"/>
        <w:right w:val="none" w:sz="0" w:space="0" w:color="auto"/>
      </w:divBdr>
    </w:div>
    <w:div w:id="93671619">
      <w:bodyDiv w:val="1"/>
      <w:marLeft w:val="0"/>
      <w:marRight w:val="0"/>
      <w:marTop w:val="0"/>
      <w:marBottom w:val="0"/>
      <w:divBdr>
        <w:top w:val="none" w:sz="0" w:space="0" w:color="auto"/>
        <w:left w:val="none" w:sz="0" w:space="0" w:color="auto"/>
        <w:bottom w:val="none" w:sz="0" w:space="0" w:color="auto"/>
        <w:right w:val="none" w:sz="0" w:space="0" w:color="auto"/>
      </w:divBdr>
    </w:div>
    <w:div w:id="142503374">
      <w:bodyDiv w:val="1"/>
      <w:marLeft w:val="0"/>
      <w:marRight w:val="0"/>
      <w:marTop w:val="0"/>
      <w:marBottom w:val="0"/>
      <w:divBdr>
        <w:top w:val="none" w:sz="0" w:space="0" w:color="auto"/>
        <w:left w:val="none" w:sz="0" w:space="0" w:color="auto"/>
        <w:bottom w:val="none" w:sz="0" w:space="0" w:color="auto"/>
        <w:right w:val="none" w:sz="0" w:space="0" w:color="auto"/>
      </w:divBdr>
      <w:divsChild>
        <w:div w:id="2133397044">
          <w:marLeft w:val="0"/>
          <w:marRight w:val="0"/>
          <w:marTop w:val="0"/>
          <w:marBottom w:val="0"/>
          <w:divBdr>
            <w:top w:val="none" w:sz="0" w:space="0" w:color="auto"/>
            <w:left w:val="none" w:sz="0" w:space="0" w:color="auto"/>
            <w:bottom w:val="none" w:sz="0" w:space="0" w:color="auto"/>
            <w:right w:val="none" w:sz="0" w:space="0" w:color="auto"/>
          </w:divBdr>
          <w:divsChild>
            <w:div w:id="1233732832">
              <w:marLeft w:val="0"/>
              <w:marRight w:val="0"/>
              <w:marTop w:val="0"/>
              <w:marBottom w:val="0"/>
              <w:divBdr>
                <w:top w:val="none" w:sz="0" w:space="0" w:color="auto"/>
                <w:left w:val="none" w:sz="0" w:space="0" w:color="auto"/>
                <w:bottom w:val="none" w:sz="0" w:space="0" w:color="auto"/>
                <w:right w:val="none" w:sz="0" w:space="0" w:color="auto"/>
              </w:divBdr>
              <w:divsChild>
                <w:div w:id="154155247">
                  <w:marLeft w:val="0"/>
                  <w:marRight w:val="0"/>
                  <w:marTop w:val="0"/>
                  <w:marBottom w:val="0"/>
                  <w:divBdr>
                    <w:top w:val="none" w:sz="0" w:space="0" w:color="auto"/>
                    <w:left w:val="none" w:sz="0" w:space="0" w:color="auto"/>
                    <w:bottom w:val="none" w:sz="0" w:space="0" w:color="auto"/>
                    <w:right w:val="none" w:sz="0" w:space="0" w:color="auto"/>
                  </w:divBdr>
                </w:div>
              </w:divsChild>
            </w:div>
            <w:div w:id="685209656">
              <w:marLeft w:val="0"/>
              <w:marRight w:val="0"/>
              <w:marTop w:val="0"/>
              <w:marBottom w:val="0"/>
              <w:divBdr>
                <w:top w:val="none" w:sz="0" w:space="0" w:color="auto"/>
                <w:left w:val="none" w:sz="0" w:space="0" w:color="auto"/>
                <w:bottom w:val="none" w:sz="0" w:space="0" w:color="auto"/>
                <w:right w:val="none" w:sz="0" w:space="0" w:color="auto"/>
              </w:divBdr>
              <w:divsChild>
                <w:div w:id="1915966504">
                  <w:marLeft w:val="0"/>
                  <w:marRight w:val="0"/>
                  <w:marTop w:val="0"/>
                  <w:marBottom w:val="0"/>
                  <w:divBdr>
                    <w:top w:val="none" w:sz="0" w:space="0" w:color="auto"/>
                    <w:left w:val="none" w:sz="0" w:space="0" w:color="auto"/>
                    <w:bottom w:val="none" w:sz="0" w:space="0" w:color="auto"/>
                    <w:right w:val="none" w:sz="0" w:space="0" w:color="auto"/>
                  </w:divBdr>
                </w:div>
              </w:divsChild>
            </w:div>
            <w:div w:id="1766418186">
              <w:marLeft w:val="0"/>
              <w:marRight w:val="0"/>
              <w:marTop w:val="0"/>
              <w:marBottom w:val="0"/>
              <w:divBdr>
                <w:top w:val="none" w:sz="0" w:space="0" w:color="auto"/>
                <w:left w:val="none" w:sz="0" w:space="0" w:color="auto"/>
                <w:bottom w:val="none" w:sz="0" w:space="0" w:color="auto"/>
                <w:right w:val="none" w:sz="0" w:space="0" w:color="auto"/>
              </w:divBdr>
              <w:divsChild>
                <w:div w:id="7057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9088">
          <w:marLeft w:val="0"/>
          <w:marRight w:val="0"/>
          <w:marTop w:val="0"/>
          <w:marBottom w:val="0"/>
          <w:divBdr>
            <w:top w:val="none" w:sz="0" w:space="0" w:color="auto"/>
            <w:left w:val="none" w:sz="0" w:space="0" w:color="auto"/>
            <w:bottom w:val="none" w:sz="0" w:space="0" w:color="auto"/>
            <w:right w:val="none" w:sz="0" w:space="0" w:color="auto"/>
          </w:divBdr>
          <w:divsChild>
            <w:div w:id="763959817">
              <w:marLeft w:val="0"/>
              <w:marRight w:val="0"/>
              <w:marTop w:val="0"/>
              <w:marBottom w:val="0"/>
              <w:divBdr>
                <w:top w:val="none" w:sz="0" w:space="0" w:color="auto"/>
                <w:left w:val="none" w:sz="0" w:space="0" w:color="auto"/>
                <w:bottom w:val="none" w:sz="0" w:space="0" w:color="auto"/>
                <w:right w:val="none" w:sz="0" w:space="0" w:color="auto"/>
              </w:divBdr>
              <w:divsChild>
                <w:div w:id="1566992676">
                  <w:marLeft w:val="0"/>
                  <w:marRight w:val="0"/>
                  <w:marTop w:val="0"/>
                  <w:marBottom w:val="0"/>
                  <w:divBdr>
                    <w:top w:val="none" w:sz="0" w:space="0" w:color="auto"/>
                    <w:left w:val="none" w:sz="0" w:space="0" w:color="auto"/>
                    <w:bottom w:val="none" w:sz="0" w:space="0" w:color="auto"/>
                    <w:right w:val="none" w:sz="0" w:space="0" w:color="auto"/>
                  </w:divBdr>
                </w:div>
              </w:divsChild>
            </w:div>
            <w:div w:id="2056201652">
              <w:marLeft w:val="0"/>
              <w:marRight w:val="0"/>
              <w:marTop w:val="0"/>
              <w:marBottom w:val="0"/>
              <w:divBdr>
                <w:top w:val="none" w:sz="0" w:space="0" w:color="auto"/>
                <w:left w:val="none" w:sz="0" w:space="0" w:color="auto"/>
                <w:bottom w:val="none" w:sz="0" w:space="0" w:color="auto"/>
                <w:right w:val="none" w:sz="0" w:space="0" w:color="auto"/>
              </w:divBdr>
              <w:divsChild>
                <w:div w:id="13379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89118">
      <w:bodyDiv w:val="1"/>
      <w:marLeft w:val="0"/>
      <w:marRight w:val="0"/>
      <w:marTop w:val="0"/>
      <w:marBottom w:val="0"/>
      <w:divBdr>
        <w:top w:val="none" w:sz="0" w:space="0" w:color="auto"/>
        <w:left w:val="none" w:sz="0" w:space="0" w:color="auto"/>
        <w:bottom w:val="none" w:sz="0" w:space="0" w:color="auto"/>
        <w:right w:val="none" w:sz="0" w:space="0" w:color="auto"/>
      </w:divBdr>
    </w:div>
    <w:div w:id="1631936518">
      <w:bodyDiv w:val="1"/>
      <w:marLeft w:val="0"/>
      <w:marRight w:val="0"/>
      <w:marTop w:val="0"/>
      <w:marBottom w:val="0"/>
      <w:divBdr>
        <w:top w:val="none" w:sz="0" w:space="0" w:color="auto"/>
        <w:left w:val="none" w:sz="0" w:space="0" w:color="auto"/>
        <w:bottom w:val="none" w:sz="0" w:space="0" w:color="auto"/>
        <w:right w:val="none" w:sz="0" w:space="0" w:color="auto"/>
      </w:divBdr>
    </w:div>
    <w:div w:id="174837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xtowe.gov.uk/media/0hrf434q/green-belt-review-background-paper.pdf" TargetMode="External"/><Relationship Id="rId18" Type="http://schemas.openxmlformats.org/officeDocument/2006/relationships/hyperlink" Target="https://www.gedling.gov.uk/lpdexamination/media/documents/planningbuildingcontrol/localplanningdocument/Green%20Belt%20Assessment%20July%202015%20-%20web%20version.pdf" TargetMode="External"/><Relationship Id="rId26" Type="http://schemas.openxmlformats.org/officeDocument/2006/relationships/hyperlink" Target="https://www.gnplan.org.uk/media/msko0awn/gnsp-green-belt-review-nottingham-city-appendix-e.pdf" TargetMode="External"/><Relationship Id="rId21" Type="http://schemas.openxmlformats.org/officeDocument/2006/relationships/hyperlink" Target="https://www.gnplan.org.uk/evidence-bas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shfield.gov.uk/local-plan-examination/submission-documents-and-evidence-base/" TargetMode="External"/><Relationship Id="rId17" Type="http://schemas.openxmlformats.org/officeDocument/2006/relationships/hyperlink" Target="https://www.broxtowe.gov.uk/media/2076/gb-review-consultation-document.pdf" TargetMode="External"/><Relationship Id="rId25" Type="http://schemas.openxmlformats.org/officeDocument/2006/relationships/hyperlink" Target="https://www.gnplan.org.uk/media/ghbdiik3/gnsp-green-belt-review-gedling-appendix-d.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broxtowe.gov.uk/media/2218/tribal-greater-nottingham-sustainable-locations-for-growth-final-report.pdf" TargetMode="External"/><Relationship Id="rId20" Type="http://schemas.openxmlformats.org/officeDocument/2006/relationships/hyperlink" Target="https://www.rushcliffe.gov.uk/media/iofmnqnh/ksgre02-rushcliffe-green-belt-review-parts-1-and-2a.pdf" TargetMode="External"/><Relationship Id="rId29" Type="http://schemas.openxmlformats.org/officeDocument/2006/relationships/hyperlink" Target="https://www.gov.uk/guidance/national-planning-policy-framework/2-achieving-sustainable-develop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dling.gov.uk/lpdexamination/media/documents/planningbuildingcontrol/localplanningdocument/Green%20Belt%20Assessment%20Framework%20-%20Feb%202015.pdf" TargetMode="External"/><Relationship Id="rId24" Type="http://schemas.openxmlformats.org/officeDocument/2006/relationships/hyperlink" Target="https://www.gnplan.org.uk/media/pbcfkz0h/gnsp-green-belt-review-broxtowe-appendix-c.pdf"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roxtowe.gov.uk/media/2080/tribal-appraisal-sustainable-urban-extensions-2008.pdf" TargetMode="External"/><Relationship Id="rId23" Type="http://schemas.openxmlformats.org/officeDocument/2006/relationships/hyperlink" Target="https://www.gnplan.org.uk/media/0hok20hd/gnsp-green-belt-review-methodology-sept-2024.pdf" TargetMode="External"/><Relationship Id="rId28" Type="http://schemas.openxmlformats.org/officeDocument/2006/relationships/hyperlink" Target="https://www.gov.uk/guidance/national-planning-policy-framework/2-achieving-sustainable-development"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cuments.nottinghamcity.gov.uk/download/442" TargetMode="External"/><Relationship Id="rId31"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derby.gov.uk/media/derbycitycouncil/contentassets/documents/environmentandplanning/planning/localplan/part1/corestrategyexamination/EB058-Nottingham-Derby-Green-Belt-Review.pdf" TargetMode="External"/><Relationship Id="rId22" Type="http://schemas.openxmlformats.org/officeDocument/2006/relationships/hyperlink" Target="https://www.gnplan.org.uk/media/cemplcym/gnsp-green-belt-background-paper-sep-2024.pdf" TargetMode="External"/><Relationship Id="rId27" Type="http://schemas.openxmlformats.org/officeDocument/2006/relationships/hyperlink" Target="https://www.gnplan.org.uk/media/sukdhcrv/gnsp-green-belt-review-rushcliffe-appendix-f.pdf" TargetMode="External"/><Relationship Id="rId30" Type="http://schemas.openxmlformats.org/officeDocument/2006/relationships/hyperlink" Target="https://www.mansfield.gov.uk/downloads/file/482/natural-england-s-advice-notes-on-the-sherwood-ppspa-2014"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98647-6B20-4DAB-861A-291072596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5634</Words>
  <Characters>32114</Characters>
  <Application>Microsoft Office Word</Application>
  <DocSecurity>4</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Gedling Borough Council</Company>
  <LinksUpToDate>false</LinksUpToDate>
  <CharactersWithSpaces>37673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Gray</dc:creator>
  <cp:keywords/>
  <dc:description/>
  <cp:lastModifiedBy>Joanna Gray</cp:lastModifiedBy>
  <cp:revision>2</cp:revision>
  <dcterms:created xsi:type="dcterms:W3CDTF">2025-08-14T11:11:00Z</dcterms:created>
  <dcterms:modified xsi:type="dcterms:W3CDTF">2025-08-14T11:11:00Z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357b46ac,6276f463,1787de59</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82605bbf-3f5a-4d11-995a-ab0e71eef3db_Enabled">
    <vt:lpwstr>true</vt:lpwstr>
  </property>
  <property fmtid="{D5CDD505-2E9C-101B-9397-08002B2CF9AE}" pid="6" name="MSIP_Label_82605bbf-3f5a-4d11-995a-ab0e71eef3db_SetDate">
    <vt:lpwstr>2025-06-12T08:31:34Z</vt:lpwstr>
  </property>
  <property fmtid="{D5CDD505-2E9C-101B-9397-08002B2CF9AE}" pid="7" name="MSIP_Label_82605bbf-3f5a-4d11-995a-ab0e71eef3db_Method">
    <vt:lpwstr>Standard</vt:lpwstr>
  </property>
  <property fmtid="{D5CDD505-2E9C-101B-9397-08002B2CF9AE}" pid="8" name="MSIP_Label_82605bbf-3f5a-4d11-995a-ab0e71eef3db_Name">
    <vt:lpwstr>General</vt:lpwstr>
  </property>
  <property fmtid="{D5CDD505-2E9C-101B-9397-08002B2CF9AE}" pid="9" name="MSIP_Label_82605bbf-3f5a-4d11-995a-ab0e71eef3db_SiteId">
    <vt:lpwstr>0fb26f95-b29d-4825-a41a-86c75ea1246a</vt:lpwstr>
  </property>
  <property fmtid="{D5CDD505-2E9C-101B-9397-08002B2CF9AE}" pid="10" name="MSIP_Label_82605bbf-3f5a-4d11-995a-ab0e71eef3db_ActionId">
    <vt:lpwstr>6296f633-a8cc-46b5-9d1c-a4f267566924</vt:lpwstr>
  </property>
  <property fmtid="{D5CDD505-2E9C-101B-9397-08002B2CF9AE}" pid="11" name="MSIP_Label_82605bbf-3f5a-4d11-995a-ab0e71eef3db_ContentBits">
    <vt:lpwstr>1</vt:lpwstr>
  </property>
  <property fmtid="{D5CDD505-2E9C-101B-9397-08002B2CF9AE}" pid="12" name="MSIP_Label_82605bbf-3f5a-4d11-995a-ab0e71eef3db_Tag">
    <vt:lpwstr>10, 3, 0, 1</vt:lpwstr>
  </property>
</Properties>
</file>